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194E9"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881010C" wp14:editId="3812285D">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039A945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2BA34D0E" wp14:editId="32CFE0B0">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83076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5C38FA49" w14:textId="77777777" w:rsidR="00CB7E24" w:rsidRPr="003E2DC2" w:rsidRDefault="00403A11" w:rsidP="003E2DC2">
      <w:pPr>
        <w:spacing w:after="0"/>
        <w:jc w:val="right"/>
        <w:rPr>
          <w:rFonts w:ascii="Times New Roman" w:hAnsi="Times New Roman"/>
          <w:b/>
          <w:sz w:val="28"/>
          <w:szCs w:val="28"/>
        </w:rPr>
      </w:pPr>
      <w:r>
        <w:rPr>
          <w:rFonts w:ascii="Times New Roman" w:hAnsi="Times New Roman"/>
          <w:b/>
          <w:sz w:val="40"/>
          <w:szCs w:val="40"/>
        </w:rPr>
        <w:t>Ini</w:t>
      </w:r>
      <w:bookmarkStart w:id="0" w:name="_GoBack"/>
      <w:bookmarkEnd w:id="0"/>
      <w:r>
        <w:rPr>
          <w:rFonts w:ascii="Times New Roman" w:hAnsi="Times New Roman"/>
          <w:b/>
          <w:sz w:val="40"/>
          <w:szCs w:val="40"/>
        </w:rPr>
        <w:t>tial Research Request</w:t>
      </w:r>
    </w:p>
    <w:p w14:paraId="10E69CF6" w14:textId="5DCFD51B" w:rsidR="003E2DC2" w:rsidRPr="002B7BE9" w:rsidRDefault="003E2DC2" w:rsidP="003E2DC2">
      <w:pPr>
        <w:spacing w:after="0" w:line="240" w:lineRule="auto"/>
        <w:jc w:val="right"/>
        <w:rPr>
          <w:rFonts w:ascii="Times New Roman" w:hAnsi="Times New Roman"/>
          <w:i/>
          <w:color w:val="595959" w:themeColor="text1" w:themeTint="A6"/>
          <w:sz w:val="24"/>
          <w:szCs w:val="24"/>
        </w:rPr>
      </w:pPr>
      <w:r w:rsidRPr="002B7BE9">
        <w:rPr>
          <w:rFonts w:ascii="Times New Roman" w:hAnsi="Times New Roman"/>
          <w:i/>
          <w:color w:val="595959" w:themeColor="text1" w:themeTint="A6"/>
          <w:sz w:val="24"/>
          <w:szCs w:val="24"/>
        </w:rPr>
        <w:t>(</w:t>
      </w:r>
      <w:r w:rsidR="00C234A0">
        <w:rPr>
          <w:rFonts w:ascii="Times New Roman" w:hAnsi="Times New Roman"/>
          <w:i/>
          <w:color w:val="595959" w:themeColor="text1" w:themeTint="A6"/>
          <w:sz w:val="24"/>
          <w:szCs w:val="24"/>
        </w:rPr>
        <w:t>6</w:t>
      </w:r>
      <w:r w:rsidR="008D6845">
        <w:rPr>
          <w:rFonts w:ascii="Times New Roman" w:hAnsi="Times New Roman"/>
          <w:i/>
          <w:color w:val="595959" w:themeColor="text1" w:themeTint="A6"/>
          <w:sz w:val="24"/>
          <w:szCs w:val="24"/>
        </w:rPr>
        <w:t>/1</w:t>
      </w:r>
      <w:r w:rsidR="00C234A0">
        <w:rPr>
          <w:rFonts w:ascii="Times New Roman" w:hAnsi="Times New Roman"/>
          <w:i/>
          <w:color w:val="595959" w:themeColor="text1" w:themeTint="A6"/>
          <w:sz w:val="24"/>
          <w:szCs w:val="24"/>
        </w:rPr>
        <w:t>4</w:t>
      </w:r>
      <w:r w:rsidR="008D6845">
        <w:rPr>
          <w:rFonts w:ascii="Times New Roman" w:hAnsi="Times New Roman"/>
          <w:i/>
          <w:color w:val="595959" w:themeColor="text1" w:themeTint="A6"/>
          <w:sz w:val="24"/>
          <w:szCs w:val="24"/>
        </w:rPr>
        <w:t>/</w:t>
      </w:r>
      <w:r w:rsidR="009F51D5">
        <w:rPr>
          <w:rFonts w:ascii="Times New Roman" w:hAnsi="Times New Roman"/>
          <w:i/>
          <w:color w:val="595959" w:themeColor="text1" w:themeTint="A6"/>
          <w:sz w:val="24"/>
          <w:szCs w:val="24"/>
        </w:rPr>
        <w:t>2017</w:t>
      </w:r>
      <w:r w:rsidRPr="002B7BE9">
        <w:rPr>
          <w:rFonts w:ascii="Times New Roman" w:hAnsi="Times New Roman"/>
          <w:i/>
          <w:color w:val="595959" w:themeColor="text1" w:themeTint="A6"/>
          <w:sz w:val="24"/>
          <w:szCs w:val="24"/>
        </w:rPr>
        <w:t>)</w:t>
      </w:r>
    </w:p>
    <w:p w14:paraId="7A20460E" w14:textId="77777777" w:rsidR="003E2DC2" w:rsidRPr="002B7BE9" w:rsidRDefault="00436BF9" w:rsidP="003E2DC2">
      <w:pPr>
        <w:spacing w:after="0" w:line="240" w:lineRule="auto"/>
        <w:jc w:val="right"/>
        <w:rPr>
          <w:rFonts w:ascii="Times New Roman" w:hAnsi="Times New Roman"/>
          <w:i/>
          <w:color w:val="595959" w:themeColor="text1" w:themeTint="A6"/>
          <w:sz w:val="24"/>
          <w:szCs w:val="24"/>
        </w:rPr>
      </w:pPr>
      <w:r>
        <w:rPr>
          <w:rFonts w:ascii="Times New Roman" w:hAnsi="Times New Roman"/>
          <w:i/>
          <w:color w:val="595959" w:themeColor="text1" w:themeTint="A6"/>
          <w:sz w:val="24"/>
          <w:szCs w:val="24"/>
        </w:rPr>
        <w:t>Preventive Maintenance</w:t>
      </w:r>
    </w:p>
    <w:p w14:paraId="432C8C3C" w14:textId="77777777" w:rsidR="00DA24A4" w:rsidRPr="003E2DC2" w:rsidRDefault="003E2DC2" w:rsidP="003E2DC2">
      <w:pPr>
        <w:spacing w:after="0" w:line="240" w:lineRule="auto"/>
        <w:jc w:val="right"/>
        <w:rPr>
          <w:rFonts w:ascii="Times New Roman" w:hAnsi="Times New Roman"/>
          <w:i/>
          <w:color w:val="2F3742"/>
          <w:sz w:val="24"/>
          <w:szCs w:val="24"/>
        </w:rPr>
      </w:pPr>
      <w:r w:rsidRPr="003E2DC2">
        <w:rPr>
          <w:rFonts w:ascii="Times New Roman" w:hAnsi="Times New Roman"/>
          <w:i/>
          <w:color w:val="2F3742"/>
          <w:sz w:val="24"/>
          <w:szCs w:val="24"/>
        </w:rPr>
        <w:t xml:space="preserve"> </w:t>
      </w:r>
    </w:p>
    <w:p w14:paraId="1F0CAB19" w14:textId="77777777" w:rsidR="004365C0" w:rsidRDefault="004365C0" w:rsidP="003E2DC2">
      <w:pPr>
        <w:spacing w:after="0" w:line="240" w:lineRule="auto"/>
        <w:jc w:val="center"/>
        <w:rPr>
          <w:rFonts w:ascii="Times New Roman" w:hAnsi="Times New Roman"/>
          <w:b/>
          <w:sz w:val="24"/>
          <w:szCs w:val="24"/>
        </w:rPr>
      </w:pPr>
    </w:p>
    <w:p w14:paraId="440C94A1" w14:textId="77777777" w:rsidR="003E2DC2" w:rsidRPr="003E2DC2" w:rsidRDefault="003E2DC2" w:rsidP="003E2DC2">
      <w:pPr>
        <w:spacing w:after="0" w:line="240" w:lineRule="auto"/>
        <w:jc w:val="right"/>
        <w:rPr>
          <w:rFonts w:ascii="Times New Roman" w:hAnsi="Times New Roman"/>
          <w:sz w:val="24"/>
          <w:szCs w:val="24"/>
        </w:rPr>
        <w:sectPr w:rsidR="003E2DC2" w:rsidRPr="003E2DC2" w:rsidSect="004365C0">
          <w:footerReference w:type="default" r:id="rId10"/>
          <w:footerReference w:type="first" r:id="rId11"/>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3E2DC2" w:rsidRPr="00DA29E8" w14:paraId="3039A3B5" w14:textId="77777777" w:rsidTr="003E2DC2">
        <w:tc>
          <w:tcPr>
            <w:tcW w:w="2988" w:type="dxa"/>
          </w:tcPr>
          <w:p w14:paraId="31AEC752" w14:textId="77777777" w:rsidR="003E2DC2" w:rsidRPr="00DA29E8" w:rsidRDefault="003E2DC2" w:rsidP="003E2DC2">
            <w:pPr>
              <w:spacing w:after="0" w:line="240" w:lineRule="auto"/>
              <w:jc w:val="right"/>
              <w:rPr>
                <w:rFonts w:asciiTheme="minorHAnsi" w:hAnsiTheme="minorHAnsi"/>
                <w:b/>
                <w:sz w:val="22"/>
              </w:rPr>
            </w:pPr>
            <w:r w:rsidRPr="00DA29E8">
              <w:rPr>
                <w:rFonts w:asciiTheme="minorHAnsi" w:hAnsiTheme="minorHAnsi"/>
                <w:b/>
                <w:sz w:val="22"/>
              </w:rPr>
              <w:t xml:space="preserve">Research Title: </w:t>
            </w:r>
          </w:p>
        </w:tc>
        <w:tc>
          <w:tcPr>
            <w:tcW w:w="7500" w:type="dxa"/>
            <w:tcBorders>
              <w:top w:val="single" w:sz="4" w:space="0" w:color="auto"/>
              <w:bottom w:val="single" w:sz="4" w:space="0" w:color="auto"/>
            </w:tcBorders>
          </w:tcPr>
          <w:p w14:paraId="19215EAC" w14:textId="77777777" w:rsidR="003E2DC2" w:rsidRPr="00DA29E8" w:rsidRDefault="003B7E47" w:rsidP="00436BF9">
            <w:pPr>
              <w:autoSpaceDE w:val="0"/>
              <w:autoSpaceDN w:val="0"/>
              <w:adjustRightInd w:val="0"/>
              <w:spacing w:after="0" w:line="240" w:lineRule="auto"/>
              <w:rPr>
                <w:rFonts w:asciiTheme="minorHAnsi" w:hAnsiTheme="minorHAnsi"/>
                <w:sz w:val="22"/>
              </w:rPr>
            </w:pPr>
            <w:r w:rsidRPr="00DA29E8">
              <w:rPr>
                <w:rFonts w:asciiTheme="minorHAnsi" w:hAnsiTheme="minorHAnsi"/>
                <w:b/>
                <w:sz w:val="22"/>
              </w:rPr>
              <w:t xml:space="preserve">Effective Long Lasting </w:t>
            </w:r>
            <w:r w:rsidR="00132738" w:rsidRPr="00DA29E8">
              <w:rPr>
                <w:rFonts w:asciiTheme="minorHAnsi" w:hAnsiTheme="minorHAnsi"/>
                <w:b/>
                <w:sz w:val="22"/>
              </w:rPr>
              <w:t>Partial Depth</w:t>
            </w:r>
            <w:r w:rsidRPr="00DA29E8">
              <w:rPr>
                <w:rFonts w:asciiTheme="minorHAnsi" w:hAnsiTheme="minorHAnsi"/>
                <w:b/>
                <w:sz w:val="22"/>
              </w:rPr>
              <w:t xml:space="preserve"> Joint Repairs for Challenging Conditions</w:t>
            </w:r>
          </w:p>
        </w:tc>
      </w:tr>
      <w:tr w:rsidR="003E2DC2" w:rsidRPr="00DA29E8" w14:paraId="276084D0" w14:textId="77777777" w:rsidTr="003E2DC2">
        <w:tc>
          <w:tcPr>
            <w:tcW w:w="2988" w:type="dxa"/>
          </w:tcPr>
          <w:p w14:paraId="2E4A2B93" w14:textId="0CE95353" w:rsidR="003E2DC2" w:rsidRPr="00DA29E8" w:rsidRDefault="00C234A0" w:rsidP="003E2DC2">
            <w:pPr>
              <w:spacing w:after="0" w:line="240" w:lineRule="auto"/>
              <w:jc w:val="right"/>
              <w:rPr>
                <w:rFonts w:asciiTheme="minorHAnsi" w:hAnsiTheme="minorHAnsi"/>
                <w:b/>
                <w:sz w:val="22"/>
              </w:rPr>
            </w:pPr>
            <w:r w:rsidRPr="00DA29E8">
              <w:rPr>
                <w:rFonts w:asciiTheme="minorHAnsi" w:hAnsiTheme="minorHAnsi"/>
                <w:b/>
                <w:sz w:val="22"/>
              </w:rPr>
              <w:t>Research Contact</w:t>
            </w:r>
            <w:r w:rsidR="003E2DC2" w:rsidRPr="00DA29E8">
              <w:rPr>
                <w:rFonts w:asciiTheme="minorHAnsi" w:hAnsiTheme="minorHAnsi"/>
                <w:b/>
                <w:sz w:val="22"/>
              </w:rPr>
              <w:t>:</w:t>
            </w:r>
          </w:p>
        </w:tc>
        <w:tc>
          <w:tcPr>
            <w:tcW w:w="7500" w:type="dxa"/>
            <w:tcBorders>
              <w:top w:val="single" w:sz="4" w:space="0" w:color="auto"/>
              <w:bottom w:val="single" w:sz="4" w:space="0" w:color="auto"/>
            </w:tcBorders>
          </w:tcPr>
          <w:p w14:paraId="50EF358B" w14:textId="768516A9" w:rsidR="003E2DC2" w:rsidRPr="00DA29E8" w:rsidRDefault="00202AD1" w:rsidP="001126E4">
            <w:pPr>
              <w:spacing w:after="0" w:line="240" w:lineRule="auto"/>
              <w:rPr>
                <w:rFonts w:asciiTheme="minorHAnsi" w:hAnsiTheme="minorHAnsi"/>
                <w:b/>
                <w:sz w:val="22"/>
              </w:rPr>
            </w:pPr>
            <w:r w:rsidRPr="00DA29E8">
              <w:rPr>
                <w:rFonts w:asciiTheme="minorHAnsi" w:hAnsiTheme="minorHAnsi"/>
                <w:b/>
                <w:sz w:val="22"/>
              </w:rPr>
              <w:t xml:space="preserve">NRRA </w:t>
            </w:r>
            <w:r w:rsidR="0077777D" w:rsidRPr="00DA29E8">
              <w:rPr>
                <w:rFonts w:asciiTheme="minorHAnsi" w:hAnsiTheme="minorHAnsi"/>
                <w:b/>
                <w:sz w:val="22"/>
              </w:rPr>
              <w:t>Preventive Maintenance</w:t>
            </w:r>
            <w:r w:rsidRPr="00DA29E8">
              <w:rPr>
                <w:rFonts w:asciiTheme="minorHAnsi" w:hAnsiTheme="minorHAnsi"/>
                <w:b/>
                <w:sz w:val="22"/>
              </w:rPr>
              <w:t xml:space="preserve"> Team</w:t>
            </w:r>
            <w:r w:rsidR="00C234A0" w:rsidRPr="00DA29E8">
              <w:rPr>
                <w:rFonts w:asciiTheme="minorHAnsi" w:hAnsiTheme="minorHAnsi"/>
                <w:b/>
                <w:sz w:val="22"/>
              </w:rPr>
              <w:t xml:space="preserve"> </w:t>
            </w:r>
            <w:r w:rsidRPr="00DA29E8">
              <w:rPr>
                <w:rFonts w:asciiTheme="minorHAnsi" w:hAnsiTheme="minorHAnsi"/>
                <w:b/>
                <w:sz w:val="22"/>
              </w:rPr>
              <w:t>(#</w:t>
            </w:r>
            <w:r w:rsidR="00D20AB6" w:rsidRPr="00DA29E8">
              <w:rPr>
                <w:rFonts w:asciiTheme="minorHAnsi" w:hAnsiTheme="minorHAnsi"/>
                <w:b/>
                <w:sz w:val="22"/>
              </w:rPr>
              <w:t>2</w:t>
            </w:r>
            <w:r w:rsidRPr="00DA29E8">
              <w:rPr>
                <w:rFonts w:asciiTheme="minorHAnsi" w:hAnsiTheme="minorHAnsi"/>
                <w:b/>
                <w:sz w:val="22"/>
              </w:rPr>
              <w:t xml:space="preserve"> Long Term Topic)</w:t>
            </w:r>
          </w:p>
          <w:p w14:paraId="03E5F123" w14:textId="3A5938A9" w:rsidR="00202AD1" w:rsidRPr="00DA29E8" w:rsidRDefault="00C234A0" w:rsidP="001126E4">
            <w:pPr>
              <w:spacing w:after="0" w:line="240" w:lineRule="auto"/>
              <w:rPr>
                <w:rFonts w:asciiTheme="minorHAnsi" w:hAnsiTheme="minorHAnsi"/>
                <w:b/>
                <w:sz w:val="22"/>
              </w:rPr>
            </w:pPr>
            <w:r w:rsidRPr="00DA29E8">
              <w:rPr>
                <w:rFonts w:asciiTheme="minorHAnsi" w:hAnsiTheme="minorHAnsi"/>
                <w:b/>
                <w:sz w:val="22"/>
              </w:rPr>
              <w:t>Jerry Geib</w:t>
            </w:r>
          </w:p>
        </w:tc>
      </w:tr>
      <w:tr w:rsidR="003E2DC2" w:rsidRPr="00DA29E8" w14:paraId="172C7EC4" w14:textId="77777777" w:rsidTr="003E2DC2">
        <w:tc>
          <w:tcPr>
            <w:tcW w:w="2988" w:type="dxa"/>
          </w:tcPr>
          <w:p w14:paraId="3CD3E2C6" w14:textId="77777777" w:rsidR="003E2DC2" w:rsidRPr="00DA29E8" w:rsidRDefault="003E2DC2" w:rsidP="003E2DC2">
            <w:pPr>
              <w:spacing w:after="0" w:line="240" w:lineRule="auto"/>
              <w:jc w:val="right"/>
              <w:rPr>
                <w:rFonts w:asciiTheme="minorHAnsi" w:hAnsiTheme="minorHAnsi"/>
                <w:b/>
                <w:sz w:val="22"/>
              </w:rPr>
            </w:pPr>
            <w:r w:rsidRPr="00DA29E8">
              <w:rPr>
                <w:rFonts w:asciiTheme="minorHAnsi" w:hAnsiTheme="minorHAnsi"/>
                <w:b/>
                <w:sz w:val="22"/>
              </w:rPr>
              <w:t>Email:</w:t>
            </w:r>
          </w:p>
        </w:tc>
        <w:tc>
          <w:tcPr>
            <w:tcW w:w="7500" w:type="dxa"/>
            <w:tcBorders>
              <w:top w:val="single" w:sz="4" w:space="0" w:color="auto"/>
              <w:bottom w:val="single" w:sz="4" w:space="0" w:color="auto"/>
            </w:tcBorders>
          </w:tcPr>
          <w:p w14:paraId="27AF9D26" w14:textId="5061CDA1" w:rsidR="003E2DC2" w:rsidRPr="00DA29E8" w:rsidRDefault="00C234A0" w:rsidP="001126E4">
            <w:pPr>
              <w:spacing w:after="0" w:line="240" w:lineRule="auto"/>
              <w:rPr>
                <w:rFonts w:asciiTheme="minorHAnsi" w:hAnsiTheme="minorHAnsi"/>
                <w:b/>
                <w:color w:val="595959" w:themeColor="text1" w:themeTint="A6"/>
                <w:sz w:val="22"/>
              </w:rPr>
            </w:pPr>
            <w:hyperlink r:id="rId12" w:history="1">
              <w:r w:rsidRPr="00DA29E8">
                <w:rPr>
                  <w:rStyle w:val="Hyperlink"/>
                  <w:rFonts w:asciiTheme="minorHAnsi" w:hAnsiTheme="minorHAnsi"/>
                  <w:b/>
                  <w:sz w:val="22"/>
                </w:rPr>
                <w:t>Jerry.geib@state.mn.us</w:t>
              </w:r>
            </w:hyperlink>
            <w:r w:rsidRPr="00DA29E8">
              <w:rPr>
                <w:rFonts w:asciiTheme="minorHAnsi" w:hAnsiTheme="minorHAnsi"/>
                <w:b/>
                <w:color w:val="595959" w:themeColor="text1" w:themeTint="A6"/>
                <w:sz w:val="22"/>
              </w:rPr>
              <w:t xml:space="preserve"> </w:t>
            </w:r>
          </w:p>
        </w:tc>
      </w:tr>
      <w:tr w:rsidR="003E2DC2" w:rsidRPr="00DA29E8" w14:paraId="1B208F9E" w14:textId="77777777" w:rsidTr="003E2DC2">
        <w:tc>
          <w:tcPr>
            <w:tcW w:w="2988" w:type="dxa"/>
          </w:tcPr>
          <w:p w14:paraId="2107F561" w14:textId="77777777" w:rsidR="003E2DC2" w:rsidRPr="00DA29E8" w:rsidRDefault="003E2DC2" w:rsidP="003E2DC2">
            <w:pPr>
              <w:spacing w:after="0" w:line="240" w:lineRule="auto"/>
              <w:jc w:val="right"/>
              <w:rPr>
                <w:rFonts w:asciiTheme="minorHAnsi" w:hAnsiTheme="minorHAnsi"/>
                <w:b/>
                <w:sz w:val="22"/>
              </w:rPr>
            </w:pPr>
            <w:r w:rsidRPr="00DA29E8">
              <w:rPr>
                <w:rFonts w:asciiTheme="minorHAnsi" w:hAnsiTheme="minorHAnsi"/>
                <w:b/>
                <w:sz w:val="22"/>
              </w:rPr>
              <w:t xml:space="preserve">Phone:   </w:t>
            </w:r>
          </w:p>
        </w:tc>
        <w:tc>
          <w:tcPr>
            <w:tcW w:w="7500" w:type="dxa"/>
            <w:tcBorders>
              <w:top w:val="single" w:sz="4" w:space="0" w:color="auto"/>
              <w:bottom w:val="single" w:sz="4" w:space="0" w:color="auto"/>
            </w:tcBorders>
          </w:tcPr>
          <w:p w14:paraId="495D4B5A" w14:textId="0C069680" w:rsidR="003E2DC2" w:rsidRPr="00DA29E8" w:rsidRDefault="00C234A0" w:rsidP="001126E4">
            <w:pPr>
              <w:spacing w:after="0" w:line="240" w:lineRule="auto"/>
              <w:rPr>
                <w:rFonts w:asciiTheme="minorHAnsi" w:hAnsiTheme="minorHAnsi"/>
                <w:b/>
                <w:color w:val="595959" w:themeColor="text1" w:themeTint="A6"/>
                <w:sz w:val="22"/>
              </w:rPr>
            </w:pPr>
            <w:r w:rsidRPr="00DA29E8">
              <w:rPr>
                <w:rFonts w:asciiTheme="minorHAnsi" w:hAnsiTheme="minorHAnsi"/>
                <w:b/>
                <w:color w:val="595959" w:themeColor="text1" w:themeTint="A6"/>
                <w:sz w:val="22"/>
              </w:rPr>
              <w:t>651-366-5496</w:t>
            </w:r>
          </w:p>
        </w:tc>
      </w:tr>
    </w:tbl>
    <w:p w14:paraId="4B3264A8" w14:textId="77777777" w:rsidR="00721925" w:rsidRPr="00DA29E8" w:rsidRDefault="00721925" w:rsidP="003E2DC2">
      <w:pPr>
        <w:spacing w:after="0" w:line="240" w:lineRule="auto"/>
        <w:rPr>
          <w:rFonts w:asciiTheme="minorHAnsi" w:eastAsia="Times New Roman" w:hAnsiTheme="minorHAnsi"/>
          <w:b/>
          <w:sz w:val="22"/>
        </w:rPr>
      </w:pPr>
    </w:p>
    <w:p w14:paraId="2AD8B03A" w14:textId="77777777" w:rsidR="00C234A0" w:rsidRPr="00DA29E8" w:rsidRDefault="00C234A0" w:rsidP="00C234A0">
      <w:pPr>
        <w:spacing w:after="0" w:line="240" w:lineRule="auto"/>
        <w:rPr>
          <w:rFonts w:asciiTheme="minorHAnsi" w:eastAsia="Times New Roman" w:hAnsiTheme="minorHAnsi"/>
          <w:bCs/>
          <w:color w:val="000000"/>
          <w:sz w:val="22"/>
        </w:rPr>
      </w:pPr>
      <w:r w:rsidRPr="00DA29E8">
        <w:rPr>
          <w:rFonts w:asciiTheme="minorHAnsi" w:eastAsia="Times New Roman" w:hAnsiTheme="minorHAnsi"/>
          <w:b/>
          <w:sz w:val="22"/>
        </w:rPr>
        <w:t xml:space="preserve">Request Type:  </w:t>
      </w:r>
      <w:r w:rsidRPr="00DA29E8">
        <w:rPr>
          <w:rFonts w:asciiTheme="minorHAnsi" w:eastAsia="Times New Roman" w:hAnsiTheme="minorHAnsi"/>
          <w:b/>
          <w:sz w:val="22"/>
        </w:rPr>
        <w:tab/>
      </w:r>
      <w:r w:rsidRPr="00DA29E8">
        <w:rPr>
          <w:rFonts w:asciiTheme="minorHAnsi" w:eastAsia="Times New Roman" w:hAnsiTheme="minorHAnsi"/>
          <w:b/>
          <w:sz w:val="22"/>
        </w:rPr>
        <w:tab/>
      </w:r>
      <w:r w:rsidRPr="00DA29E8">
        <w:rPr>
          <w:rFonts w:asciiTheme="minorHAnsi" w:eastAsia="Times New Roman" w:hAnsiTheme="minorHAnsi"/>
          <w:color w:val="000000"/>
          <w:sz w:val="22"/>
        </w:rPr>
        <w:t>Long Term R</w:t>
      </w:r>
      <w:r w:rsidRPr="00DA29E8">
        <w:rPr>
          <w:rFonts w:asciiTheme="minorHAnsi" w:eastAsia="Times New Roman" w:hAnsiTheme="minorHAnsi"/>
          <w:bCs/>
          <w:color w:val="000000"/>
          <w:sz w:val="22"/>
        </w:rPr>
        <w:t>esearch Project using MnROAD test sections</w:t>
      </w:r>
    </w:p>
    <w:p w14:paraId="55ED61F5" w14:textId="42CB123B" w:rsidR="00C234A0" w:rsidRPr="00DA29E8" w:rsidRDefault="00C234A0" w:rsidP="00C234A0">
      <w:pPr>
        <w:spacing w:after="0" w:line="240" w:lineRule="auto"/>
        <w:ind w:left="2160" w:hanging="2160"/>
        <w:rPr>
          <w:rFonts w:asciiTheme="minorHAnsi" w:eastAsia="Times New Roman" w:hAnsiTheme="minorHAnsi"/>
          <w:sz w:val="22"/>
        </w:rPr>
      </w:pPr>
      <w:r w:rsidRPr="00DA29E8">
        <w:rPr>
          <w:rFonts w:asciiTheme="minorHAnsi" w:eastAsia="Times New Roman" w:hAnsiTheme="minorHAnsi"/>
          <w:b/>
          <w:bCs/>
          <w:color w:val="000000"/>
          <w:sz w:val="22"/>
        </w:rPr>
        <w:t>Contracting Process:</w:t>
      </w:r>
      <w:r w:rsidRPr="00DA29E8">
        <w:rPr>
          <w:rFonts w:asciiTheme="minorHAnsi" w:eastAsia="Times New Roman" w:hAnsiTheme="minorHAnsi"/>
          <w:b/>
          <w:bCs/>
          <w:color w:val="000000"/>
          <w:sz w:val="22"/>
        </w:rPr>
        <w:tab/>
      </w:r>
      <w:r w:rsidRPr="00DA29E8">
        <w:rPr>
          <w:rFonts w:asciiTheme="minorHAnsi" w:eastAsia="Times New Roman" w:hAnsiTheme="minorHAnsi"/>
          <w:bCs/>
          <w:sz w:val="22"/>
        </w:rPr>
        <w:t xml:space="preserve">MnDOT </w:t>
      </w:r>
      <w:r w:rsidRPr="00DA29E8">
        <w:rPr>
          <w:rFonts w:asciiTheme="minorHAnsi" w:eastAsia="Times New Roman" w:hAnsiTheme="minorHAnsi"/>
          <w:bCs/>
          <w:sz w:val="22"/>
        </w:rPr>
        <w:t xml:space="preserve">TRAP Consultant </w:t>
      </w:r>
      <w:r w:rsidRPr="00DA29E8">
        <w:rPr>
          <w:rFonts w:asciiTheme="minorHAnsi" w:eastAsia="Times New Roman" w:hAnsiTheme="minorHAnsi"/>
          <w:bCs/>
          <w:sz w:val="22"/>
        </w:rPr>
        <w:t>– Contractor TBD</w:t>
      </w:r>
    </w:p>
    <w:p w14:paraId="24160C66" w14:textId="77777777" w:rsidR="001126E4" w:rsidRPr="00DA29E8" w:rsidRDefault="001126E4" w:rsidP="001126E4">
      <w:pPr>
        <w:spacing w:after="0" w:line="240" w:lineRule="auto"/>
        <w:rPr>
          <w:rFonts w:asciiTheme="minorHAnsi" w:eastAsia="Times New Roman" w:hAnsiTheme="minorHAnsi"/>
          <w:sz w:val="22"/>
        </w:rPr>
      </w:pPr>
    </w:p>
    <w:p w14:paraId="1109D3F4" w14:textId="77777777" w:rsidR="001359B6" w:rsidRPr="00DA29E8" w:rsidRDefault="001359B6" w:rsidP="001359B6">
      <w:pPr>
        <w:spacing w:after="0" w:line="240" w:lineRule="auto"/>
        <w:ind w:right="-810"/>
        <w:rPr>
          <w:rFonts w:asciiTheme="minorHAnsi" w:eastAsia="Times New Roman" w:hAnsiTheme="minorHAnsi"/>
          <w:i/>
          <w:sz w:val="22"/>
        </w:rPr>
      </w:pPr>
      <w:r w:rsidRPr="00DA29E8">
        <w:rPr>
          <w:rFonts w:asciiTheme="minorHAnsi" w:eastAsia="Times New Roman" w:hAnsiTheme="minorHAnsi"/>
          <w:b/>
          <w:sz w:val="22"/>
        </w:rPr>
        <w:t>Project Overview and Goals:</w:t>
      </w:r>
    </w:p>
    <w:tbl>
      <w:tblPr>
        <w:tblStyle w:val="TableGrid2"/>
        <w:tblW w:w="9450" w:type="dxa"/>
        <w:tblInd w:w="108" w:type="dxa"/>
        <w:tblLook w:val="04A0" w:firstRow="1" w:lastRow="0" w:firstColumn="1" w:lastColumn="0" w:noHBand="0" w:noVBand="1"/>
      </w:tblPr>
      <w:tblGrid>
        <w:gridCol w:w="9450"/>
      </w:tblGrid>
      <w:tr w:rsidR="001359B6" w:rsidRPr="00DA29E8" w14:paraId="766F4B05" w14:textId="77777777" w:rsidTr="004625CA">
        <w:tc>
          <w:tcPr>
            <w:tcW w:w="9450" w:type="dxa"/>
          </w:tcPr>
          <w:p w14:paraId="0014A4D7" w14:textId="66A4903D" w:rsidR="0079532D" w:rsidRPr="00DA29E8" w:rsidRDefault="0079532D" w:rsidP="00C22E07">
            <w:pPr>
              <w:spacing w:after="0" w:line="240" w:lineRule="auto"/>
              <w:contextualSpacing/>
              <w:rPr>
                <w:rFonts w:asciiTheme="minorHAnsi" w:hAnsiTheme="minorHAnsi"/>
                <w:sz w:val="22"/>
              </w:rPr>
            </w:pPr>
            <w:r w:rsidRPr="00DA29E8">
              <w:rPr>
                <w:rFonts w:asciiTheme="minorHAnsi" w:hAnsiTheme="minorHAnsi"/>
                <w:sz w:val="22"/>
              </w:rPr>
              <w:t>Focus area for this study</w:t>
            </w:r>
          </w:p>
          <w:p w14:paraId="4DEAB4AA" w14:textId="1E4D6498" w:rsidR="0079532D" w:rsidRPr="00DA29E8" w:rsidRDefault="0079532D" w:rsidP="0079532D">
            <w:pPr>
              <w:pStyle w:val="ListParagraph"/>
              <w:numPr>
                <w:ilvl w:val="0"/>
                <w:numId w:val="20"/>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t>Mimic a deteriorated PCC joint / pothole</w:t>
            </w:r>
          </w:p>
          <w:p w14:paraId="5416A130" w14:textId="77777777" w:rsidR="0079532D" w:rsidRPr="00DA29E8" w:rsidRDefault="0079532D" w:rsidP="0079532D">
            <w:pPr>
              <w:pStyle w:val="ListParagraph"/>
              <w:numPr>
                <w:ilvl w:val="1"/>
                <w:numId w:val="20"/>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t>PCC location developed with 2” mill</w:t>
            </w:r>
          </w:p>
          <w:p w14:paraId="480B6E50" w14:textId="0B569D3B" w:rsidR="0079532D" w:rsidRPr="00DA29E8" w:rsidRDefault="0079532D" w:rsidP="0079532D">
            <w:pPr>
              <w:pStyle w:val="ListParagraph"/>
              <w:numPr>
                <w:ilvl w:val="1"/>
                <w:numId w:val="20"/>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t>Done with Minimal Prep (sandblast/tapered side)</w:t>
            </w:r>
          </w:p>
          <w:p w14:paraId="71642CC2" w14:textId="77E9F09A" w:rsidR="0079532D" w:rsidRPr="00DA29E8" w:rsidRDefault="0079532D" w:rsidP="0079532D">
            <w:pPr>
              <w:pStyle w:val="ListParagraph"/>
              <w:numPr>
                <w:ilvl w:val="0"/>
                <w:numId w:val="20"/>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t>2-4 curing time/ Innovative new materials</w:t>
            </w:r>
          </w:p>
          <w:p w14:paraId="4056E848" w14:textId="14CCB40C" w:rsidR="0079532D" w:rsidRPr="00DA29E8" w:rsidRDefault="0079532D" w:rsidP="0079532D">
            <w:pPr>
              <w:pStyle w:val="ListParagraph"/>
              <w:numPr>
                <w:ilvl w:val="0"/>
                <w:numId w:val="20"/>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t>Materials used/placed by maintenance crews</w:t>
            </w:r>
          </w:p>
          <w:p w14:paraId="3B3FFEA5" w14:textId="50340D2A" w:rsidR="0079532D" w:rsidRPr="00DA29E8" w:rsidRDefault="0079532D" w:rsidP="0079532D">
            <w:pPr>
              <w:pStyle w:val="ListParagraph"/>
              <w:numPr>
                <w:ilvl w:val="0"/>
                <w:numId w:val="20"/>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t>3-5 year fixes</w:t>
            </w:r>
          </w:p>
          <w:p w14:paraId="6BA16D5F" w14:textId="77777777" w:rsidR="0079532D" w:rsidRPr="00DA29E8" w:rsidRDefault="0079532D" w:rsidP="0079532D">
            <w:pPr>
              <w:spacing w:after="0" w:line="240" w:lineRule="auto"/>
              <w:contextualSpacing/>
              <w:rPr>
                <w:rFonts w:asciiTheme="minorHAnsi" w:hAnsiTheme="minorHAnsi"/>
                <w:sz w:val="22"/>
              </w:rPr>
            </w:pPr>
          </w:p>
          <w:p w14:paraId="64C036CF" w14:textId="2AEDD80A" w:rsidR="0079532D" w:rsidRPr="00DA29E8" w:rsidRDefault="0079532D" w:rsidP="0079532D">
            <w:pPr>
              <w:spacing w:after="0" w:line="240" w:lineRule="auto"/>
              <w:contextualSpacing/>
              <w:rPr>
                <w:rFonts w:asciiTheme="minorHAnsi" w:hAnsiTheme="minorHAnsi"/>
                <w:sz w:val="22"/>
              </w:rPr>
            </w:pPr>
            <w:r w:rsidRPr="00DA29E8">
              <w:rPr>
                <w:rFonts w:asciiTheme="minorHAnsi" w:hAnsiTheme="minorHAnsi"/>
                <w:sz w:val="22"/>
              </w:rPr>
              <w:t xml:space="preserve">Possible Phase-2 (not in this contract) – take it to the next level where maintenance crews use the materials with min prep in spalled concrete with maybe sand blasting / jack hammer.   </w:t>
            </w:r>
          </w:p>
          <w:p w14:paraId="330477DD" w14:textId="77777777" w:rsidR="0079532D" w:rsidRPr="00DA29E8" w:rsidRDefault="0079532D" w:rsidP="00C22E07">
            <w:pPr>
              <w:spacing w:after="0" w:line="240" w:lineRule="auto"/>
              <w:contextualSpacing/>
              <w:rPr>
                <w:rFonts w:asciiTheme="minorHAnsi" w:hAnsiTheme="minorHAnsi"/>
                <w:sz w:val="22"/>
              </w:rPr>
            </w:pPr>
          </w:p>
          <w:p w14:paraId="4114E1D3" w14:textId="77777777" w:rsidR="00C22E07" w:rsidRPr="00DA29E8" w:rsidRDefault="00C22E07" w:rsidP="00C22E07">
            <w:pPr>
              <w:spacing w:after="0" w:line="240" w:lineRule="auto"/>
              <w:contextualSpacing/>
              <w:rPr>
                <w:rFonts w:asciiTheme="minorHAnsi" w:hAnsiTheme="minorHAnsi"/>
                <w:sz w:val="22"/>
              </w:rPr>
            </w:pPr>
            <w:r w:rsidRPr="00DA29E8">
              <w:rPr>
                <w:rFonts w:asciiTheme="minorHAnsi" w:hAnsiTheme="minorHAnsi"/>
                <w:sz w:val="22"/>
              </w:rPr>
              <w:t xml:space="preserve">As concrete pavements age, longitudinal and transverse joints can exhibit signs of distress as a result of traffic loading, </w:t>
            </w:r>
            <w:r w:rsidR="00EE6203" w:rsidRPr="00DA29E8">
              <w:rPr>
                <w:rFonts w:asciiTheme="minorHAnsi" w:hAnsiTheme="minorHAnsi"/>
                <w:sz w:val="22"/>
              </w:rPr>
              <w:t xml:space="preserve">climatic variations, </w:t>
            </w:r>
            <w:r w:rsidRPr="00DA29E8">
              <w:rPr>
                <w:rFonts w:asciiTheme="minorHAnsi" w:hAnsiTheme="minorHAnsi"/>
                <w:sz w:val="22"/>
              </w:rPr>
              <w:t xml:space="preserve">materials related issues, and construction defects.  Although often only small areas are involved, the joint distress can </w:t>
            </w:r>
            <w:r w:rsidR="00EE6203" w:rsidRPr="00DA29E8">
              <w:rPr>
                <w:rFonts w:asciiTheme="minorHAnsi" w:hAnsiTheme="minorHAnsi"/>
                <w:sz w:val="22"/>
              </w:rPr>
              <w:t xml:space="preserve">substantially </w:t>
            </w:r>
            <w:r w:rsidRPr="00DA29E8">
              <w:rPr>
                <w:rFonts w:asciiTheme="minorHAnsi" w:hAnsiTheme="minorHAnsi"/>
                <w:sz w:val="22"/>
              </w:rPr>
              <w:t xml:space="preserve">disrupt traffic flow and </w:t>
            </w:r>
            <w:r w:rsidR="00EE6203" w:rsidRPr="00DA29E8">
              <w:rPr>
                <w:rFonts w:asciiTheme="minorHAnsi" w:hAnsiTheme="minorHAnsi"/>
                <w:sz w:val="22"/>
              </w:rPr>
              <w:t xml:space="preserve">increase pavement roughness sacrificing </w:t>
            </w:r>
            <w:r w:rsidRPr="00DA29E8">
              <w:rPr>
                <w:rFonts w:asciiTheme="minorHAnsi" w:hAnsiTheme="minorHAnsi"/>
                <w:sz w:val="22"/>
              </w:rPr>
              <w:t xml:space="preserve">consumer ride comfort.  </w:t>
            </w:r>
            <w:r w:rsidR="00EE6203" w:rsidRPr="00DA29E8">
              <w:rPr>
                <w:rFonts w:asciiTheme="minorHAnsi" w:hAnsiTheme="minorHAnsi"/>
                <w:sz w:val="22"/>
              </w:rPr>
              <w:t>Furthermore, secondary distresses and degradation of sound concrete can occur due to poor joint conditions.</w:t>
            </w:r>
          </w:p>
          <w:p w14:paraId="59283F9B" w14:textId="77777777" w:rsidR="00C22E07" w:rsidRPr="00DA29E8" w:rsidRDefault="00C22E07" w:rsidP="00C22E07">
            <w:pPr>
              <w:spacing w:after="0" w:line="240" w:lineRule="auto"/>
              <w:contextualSpacing/>
              <w:rPr>
                <w:rFonts w:asciiTheme="minorHAnsi" w:hAnsiTheme="minorHAnsi"/>
                <w:sz w:val="22"/>
              </w:rPr>
            </w:pPr>
            <w:r w:rsidRPr="00DA29E8">
              <w:rPr>
                <w:rFonts w:asciiTheme="minorHAnsi" w:hAnsiTheme="minorHAnsi"/>
                <w:sz w:val="22"/>
              </w:rPr>
              <w:t>Joint distress can range from simple minor spalling requiring no immediate action to joint related distress that can affect large areas of the pavement significantly disrupting traffic.  When immediate action is required, temporary repairs are often made using readily available materials such as cold mix or other asphalt materials.  Once repaired, these temporary materials are oftentimes replaced at a later date with more permanent materials re-establishing the integrity and functionality of the concrete pavement.</w:t>
            </w:r>
          </w:p>
          <w:p w14:paraId="781D02FC" w14:textId="77777777" w:rsidR="00EA1F66" w:rsidRPr="00DA29E8" w:rsidRDefault="00EA1F66" w:rsidP="00C22E07">
            <w:pPr>
              <w:spacing w:after="0" w:line="240" w:lineRule="auto"/>
              <w:contextualSpacing/>
              <w:rPr>
                <w:rFonts w:asciiTheme="minorHAnsi" w:hAnsiTheme="minorHAnsi"/>
                <w:sz w:val="22"/>
              </w:rPr>
            </w:pPr>
          </w:p>
          <w:p w14:paraId="0C086A0C" w14:textId="77777777" w:rsidR="00C22E07" w:rsidRPr="00DA29E8" w:rsidRDefault="00C22E07" w:rsidP="00C22E07">
            <w:pPr>
              <w:spacing w:after="0" w:line="240" w:lineRule="auto"/>
              <w:contextualSpacing/>
              <w:rPr>
                <w:rFonts w:asciiTheme="minorHAnsi" w:hAnsiTheme="minorHAnsi"/>
                <w:sz w:val="22"/>
              </w:rPr>
            </w:pPr>
            <w:r w:rsidRPr="00DA29E8">
              <w:rPr>
                <w:rFonts w:asciiTheme="minorHAnsi" w:hAnsiTheme="minorHAnsi"/>
                <w:sz w:val="22"/>
              </w:rPr>
              <w:t xml:space="preserve">When more pragmatic approaches to joint repairs are executed, permanent materials are used in the initial repairs eliminating the expense of temporary placements and subsequent removals.  Many different material types are available for the permanent repairs and range widely in both cost and level of skill in placement.  The performance of each of these materials can also vary widely making selection and installation of permanent repairs challenging.  </w:t>
            </w:r>
          </w:p>
          <w:p w14:paraId="39D9026F" w14:textId="77777777" w:rsidR="00EA1F66" w:rsidRPr="00DA29E8" w:rsidRDefault="00EA1F66" w:rsidP="00C22E07">
            <w:pPr>
              <w:spacing w:after="0" w:line="240" w:lineRule="auto"/>
              <w:contextualSpacing/>
              <w:rPr>
                <w:rFonts w:asciiTheme="minorHAnsi" w:hAnsiTheme="minorHAnsi"/>
                <w:sz w:val="22"/>
              </w:rPr>
            </w:pPr>
          </w:p>
          <w:p w14:paraId="553F3F61" w14:textId="77777777" w:rsidR="001359B6" w:rsidRPr="00DA29E8" w:rsidRDefault="00C22E07" w:rsidP="00EA1F66">
            <w:pPr>
              <w:spacing w:after="0" w:line="240" w:lineRule="auto"/>
              <w:contextualSpacing/>
              <w:rPr>
                <w:rFonts w:asciiTheme="minorHAnsi" w:hAnsiTheme="minorHAnsi"/>
                <w:sz w:val="22"/>
              </w:rPr>
            </w:pPr>
            <w:r w:rsidRPr="00DA29E8">
              <w:rPr>
                <w:rFonts w:asciiTheme="minorHAnsi" w:hAnsiTheme="minorHAnsi"/>
                <w:sz w:val="22"/>
              </w:rPr>
              <w:t>Traditionally, joint repairs have often times been assumed to last 6 to 8 years but some agencies have excellent long term performance exceeding 20 years in service.  With the range of products available and the range in performance periods experienced, there is a need to determine the current state-of-the-practice.</w:t>
            </w:r>
            <w:r w:rsidR="00D20AB6" w:rsidRPr="00DA29E8">
              <w:rPr>
                <w:rFonts w:asciiTheme="minorHAnsi" w:hAnsiTheme="minorHAnsi"/>
                <w:sz w:val="22"/>
              </w:rPr>
              <w:tab/>
            </w:r>
          </w:p>
        </w:tc>
      </w:tr>
    </w:tbl>
    <w:p w14:paraId="1502A35D" w14:textId="64DA81D6" w:rsidR="00EA1F66" w:rsidRPr="00DA29E8" w:rsidRDefault="00EA1F66">
      <w:pPr>
        <w:spacing w:after="0" w:line="240" w:lineRule="auto"/>
        <w:rPr>
          <w:rFonts w:asciiTheme="minorHAnsi" w:eastAsia="Times New Roman" w:hAnsiTheme="minorHAnsi"/>
          <w:b/>
          <w:sz w:val="22"/>
        </w:rPr>
      </w:pPr>
    </w:p>
    <w:p w14:paraId="493AF60E" w14:textId="782C74F1" w:rsidR="009F51D5" w:rsidRPr="00DA29E8" w:rsidRDefault="00202AD1" w:rsidP="009F51D5">
      <w:pPr>
        <w:spacing w:after="0" w:line="240" w:lineRule="auto"/>
        <w:ind w:right="-810"/>
        <w:rPr>
          <w:rFonts w:asciiTheme="minorHAnsi" w:eastAsia="Times New Roman" w:hAnsiTheme="minorHAnsi"/>
          <w:sz w:val="22"/>
        </w:rPr>
      </w:pPr>
      <w:r w:rsidRPr="00DA29E8">
        <w:rPr>
          <w:rFonts w:asciiTheme="minorHAnsi" w:eastAsia="Times New Roman" w:hAnsiTheme="minorHAnsi"/>
          <w:b/>
          <w:sz w:val="22"/>
        </w:rPr>
        <w:lastRenderedPageBreak/>
        <w:t>MnROAD Test Section Plan:</w:t>
      </w:r>
      <w:r w:rsidR="009F51D5" w:rsidRPr="00DA29E8">
        <w:rPr>
          <w:rFonts w:asciiTheme="minorHAnsi" w:eastAsia="Times New Roman" w:hAnsiTheme="minorHAnsi"/>
          <w:b/>
          <w:sz w:val="22"/>
        </w:rPr>
        <w:t xml:space="preserve"> (3 panels/manufacture / up to 15 materials):</w:t>
      </w:r>
    </w:p>
    <w:tbl>
      <w:tblPr>
        <w:tblStyle w:val="TableGrid2"/>
        <w:tblW w:w="9450" w:type="dxa"/>
        <w:tblInd w:w="108" w:type="dxa"/>
        <w:tblLook w:val="04A0" w:firstRow="1" w:lastRow="0" w:firstColumn="1" w:lastColumn="0" w:noHBand="0" w:noVBand="1"/>
      </w:tblPr>
      <w:tblGrid>
        <w:gridCol w:w="9576"/>
      </w:tblGrid>
      <w:tr w:rsidR="009F51D5" w:rsidRPr="00DA29E8" w14:paraId="3B5344AA" w14:textId="77777777" w:rsidTr="004258F4">
        <w:trPr>
          <w:trHeight w:val="6479"/>
        </w:trPr>
        <w:tc>
          <w:tcPr>
            <w:tcW w:w="9450" w:type="dxa"/>
          </w:tcPr>
          <w:p w14:paraId="75FE641B" w14:textId="4095A09C" w:rsidR="009F51D5" w:rsidRPr="00DA29E8" w:rsidRDefault="0080298C" w:rsidP="004258F4">
            <w:pPr>
              <w:spacing w:after="0" w:line="240" w:lineRule="auto"/>
              <w:rPr>
                <w:rFonts w:asciiTheme="minorHAnsi" w:hAnsiTheme="minorHAnsi"/>
                <w:sz w:val="22"/>
              </w:rPr>
            </w:pPr>
            <w:r w:rsidRPr="00DA29E8">
              <w:rPr>
                <w:rFonts w:asciiTheme="minorHAnsi" w:hAnsiTheme="minorHAnsi"/>
                <w:noProof/>
                <w:sz w:val="22"/>
              </w:rPr>
              <w:drawing>
                <wp:inline distT="0" distB="0" distL="0" distR="0" wp14:anchorId="145F7C5B" wp14:editId="65E295B1">
                  <wp:extent cx="5943600" cy="4382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382135"/>
                          </a:xfrm>
                          <a:prstGeom prst="rect">
                            <a:avLst/>
                          </a:prstGeom>
                          <a:noFill/>
                          <a:ln>
                            <a:noFill/>
                          </a:ln>
                        </pic:spPr>
                      </pic:pic>
                    </a:graphicData>
                  </a:graphic>
                </wp:inline>
              </w:drawing>
            </w:r>
          </w:p>
        </w:tc>
      </w:tr>
    </w:tbl>
    <w:p w14:paraId="395EAA65" w14:textId="77777777" w:rsidR="00202AD1" w:rsidRPr="00DA29E8" w:rsidRDefault="00202AD1" w:rsidP="00202AD1">
      <w:pPr>
        <w:spacing w:after="0" w:line="240" w:lineRule="auto"/>
        <w:ind w:left="2160" w:hanging="2160"/>
        <w:rPr>
          <w:rFonts w:asciiTheme="minorHAnsi" w:eastAsia="Times New Roman" w:hAnsiTheme="minorHAnsi"/>
          <w:b/>
          <w:sz w:val="22"/>
        </w:rPr>
      </w:pPr>
    </w:p>
    <w:p w14:paraId="40ABE558" w14:textId="329335DF" w:rsidR="001359B6" w:rsidRPr="00DA29E8" w:rsidRDefault="001359B6" w:rsidP="001359B6">
      <w:pPr>
        <w:spacing w:after="0" w:line="240" w:lineRule="auto"/>
        <w:ind w:right="-810"/>
        <w:rPr>
          <w:rFonts w:asciiTheme="minorHAnsi" w:eastAsia="Times New Roman" w:hAnsiTheme="minorHAnsi"/>
          <w:i/>
          <w:sz w:val="22"/>
        </w:rPr>
      </w:pPr>
      <w:r w:rsidRPr="00DA29E8">
        <w:rPr>
          <w:rFonts w:asciiTheme="minorHAnsi" w:eastAsia="Times New Roman" w:hAnsiTheme="minorHAnsi"/>
          <w:b/>
          <w:sz w:val="22"/>
        </w:rPr>
        <w:t>Expected Tasks:</w:t>
      </w:r>
    </w:p>
    <w:tbl>
      <w:tblPr>
        <w:tblStyle w:val="TableGrid2"/>
        <w:tblW w:w="9450" w:type="dxa"/>
        <w:tblInd w:w="108" w:type="dxa"/>
        <w:tblLook w:val="04A0" w:firstRow="1" w:lastRow="0" w:firstColumn="1" w:lastColumn="0" w:noHBand="0" w:noVBand="1"/>
      </w:tblPr>
      <w:tblGrid>
        <w:gridCol w:w="9450"/>
      </w:tblGrid>
      <w:tr w:rsidR="001359B6" w:rsidRPr="00DA29E8" w14:paraId="4C9E0F2C" w14:textId="77777777" w:rsidTr="00721925">
        <w:trPr>
          <w:trHeight w:val="737"/>
        </w:trPr>
        <w:tc>
          <w:tcPr>
            <w:tcW w:w="9450" w:type="dxa"/>
          </w:tcPr>
          <w:p w14:paraId="77FEEB00" w14:textId="556C4EFF" w:rsidR="00B57B55" w:rsidRPr="00DA29E8" w:rsidRDefault="00B57B55" w:rsidP="00B57B55">
            <w:pPr>
              <w:spacing w:after="0" w:line="240" w:lineRule="auto"/>
              <w:contextualSpacing/>
              <w:rPr>
                <w:rFonts w:asciiTheme="minorHAnsi" w:hAnsiTheme="minorHAnsi"/>
                <w:color w:val="000000" w:themeColor="text1"/>
                <w:sz w:val="22"/>
              </w:rPr>
            </w:pPr>
            <w:r w:rsidRPr="00DA29E8">
              <w:rPr>
                <w:rFonts w:asciiTheme="minorHAnsi" w:hAnsiTheme="minorHAnsi"/>
                <w:b/>
                <w:color w:val="000000" w:themeColor="text1"/>
                <w:sz w:val="22"/>
              </w:rPr>
              <w:t>MnDOT Tasks</w:t>
            </w:r>
            <w:r w:rsidRPr="00DA29E8">
              <w:rPr>
                <w:rFonts w:asciiTheme="minorHAnsi" w:hAnsiTheme="minorHAnsi"/>
                <w:color w:val="000000" w:themeColor="text1"/>
                <w:sz w:val="22"/>
              </w:rPr>
              <w:t xml:space="preserve"> (Estimated costs shown in long term cost budget online)</w:t>
            </w:r>
          </w:p>
          <w:p w14:paraId="098A5684" w14:textId="77777777" w:rsidR="00B57B55" w:rsidRPr="00DA29E8" w:rsidRDefault="00B57B55" w:rsidP="00B57B55">
            <w:pPr>
              <w:pStyle w:val="ListParagraph"/>
              <w:numPr>
                <w:ilvl w:val="0"/>
                <w:numId w:val="19"/>
              </w:numPr>
              <w:spacing w:after="0" w:line="240" w:lineRule="auto"/>
              <w:contextualSpacing/>
              <w:rPr>
                <w:rFonts w:asciiTheme="minorHAnsi" w:eastAsia="Times New Roman" w:hAnsiTheme="minorHAnsi"/>
                <w:color w:val="000000" w:themeColor="text1"/>
                <w:sz w:val="22"/>
              </w:rPr>
            </w:pPr>
            <w:r w:rsidRPr="00DA29E8">
              <w:rPr>
                <w:rFonts w:asciiTheme="minorHAnsi" w:eastAsia="Times New Roman" w:hAnsiTheme="minorHAnsi"/>
                <w:color w:val="000000" w:themeColor="text1"/>
                <w:sz w:val="22"/>
              </w:rPr>
              <w:t>M1 - Construction Inspection</w:t>
            </w:r>
          </w:p>
          <w:p w14:paraId="1B25AEA4" w14:textId="77777777" w:rsidR="00B57B55" w:rsidRPr="00DA29E8" w:rsidRDefault="00B57B55" w:rsidP="00B57B55">
            <w:pPr>
              <w:pStyle w:val="ListParagraph"/>
              <w:numPr>
                <w:ilvl w:val="0"/>
                <w:numId w:val="19"/>
              </w:numPr>
              <w:spacing w:after="0" w:line="240" w:lineRule="auto"/>
              <w:contextualSpacing/>
              <w:rPr>
                <w:rFonts w:asciiTheme="minorHAnsi" w:eastAsia="Times New Roman" w:hAnsiTheme="minorHAnsi"/>
                <w:color w:val="000000" w:themeColor="text1"/>
                <w:sz w:val="22"/>
              </w:rPr>
            </w:pPr>
            <w:r w:rsidRPr="00DA29E8">
              <w:rPr>
                <w:rFonts w:asciiTheme="minorHAnsi" w:eastAsia="Times New Roman" w:hAnsiTheme="minorHAnsi"/>
                <w:color w:val="000000" w:themeColor="text1"/>
                <w:sz w:val="22"/>
              </w:rPr>
              <w:t>M2 – Construction Monitoring (See construction schedule focus on PCC existing condition)</w:t>
            </w:r>
          </w:p>
          <w:p w14:paraId="77CFC9FC" w14:textId="274E510B" w:rsidR="00B57B55" w:rsidRPr="00DA29E8" w:rsidRDefault="00B57B55" w:rsidP="00B57B55">
            <w:pPr>
              <w:pStyle w:val="ListParagraph"/>
              <w:numPr>
                <w:ilvl w:val="0"/>
                <w:numId w:val="19"/>
              </w:numPr>
              <w:spacing w:after="0" w:line="240" w:lineRule="auto"/>
              <w:contextualSpacing/>
              <w:rPr>
                <w:rFonts w:asciiTheme="minorHAnsi" w:eastAsia="Times New Roman" w:hAnsiTheme="minorHAnsi"/>
                <w:color w:val="000000" w:themeColor="text1"/>
                <w:sz w:val="22"/>
              </w:rPr>
            </w:pPr>
            <w:r w:rsidRPr="00DA29E8">
              <w:rPr>
                <w:rFonts w:asciiTheme="minorHAnsi" w:eastAsia="Times New Roman" w:hAnsiTheme="minorHAnsi"/>
                <w:color w:val="000000" w:themeColor="text1"/>
                <w:sz w:val="22"/>
              </w:rPr>
              <w:t>M3 - Construction Report (all 2017 efforts into one report)</w:t>
            </w:r>
            <w:r w:rsidR="000F3911" w:rsidRPr="00DA29E8">
              <w:rPr>
                <w:rFonts w:asciiTheme="minorHAnsi" w:eastAsia="Times New Roman" w:hAnsiTheme="minorHAnsi"/>
                <w:color w:val="000000" w:themeColor="text1"/>
                <w:sz w:val="22"/>
              </w:rPr>
              <w:t xml:space="preserve"> – included video on the mixing and installation</w:t>
            </w:r>
          </w:p>
          <w:p w14:paraId="7984AD8C" w14:textId="6A9477C6" w:rsidR="00B57B55" w:rsidRPr="00DA29E8" w:rsidRDefault="00B57B55" w:rsidP="00B57B55">
            <w:pPr>
              <w:pStyle w:val="ListParagraph"/>
              <w:numPr>
                <w:ilvl w:val="0"/>
                <w:numId w:val="19"/>
              </w:numPr>
              <w:spacing w:after="0" w:line="240" w:lineRule="auto"/>
              <w:contextualSpacing/>
              <w:rPr>
                <w:rFonts w:asciiTheme="minorHAnsi" w:eastAsia="Times New Roman" w:hAnsiTheme="minorHAnsi"/>
                <w:color w:val="000000" w:themeColor="text1"/>
                <w:sz w:val="22"/>
              </w:rPr>
            </w:pPr>
            <w:r w:rsidRPr="00DA29E8">
              <w:rPr>
                <w:rFonts w:asciiTheme="minorHAnsi" w:eastAsia="Times New Roman" w:hAnsiTheme="minorHAnsi"/>
                <w:color w:val="000000" w:themeColor="text1"/>
                <w:sz w:val="22"/>
              </w:rPr>
              <w:t>M</w:t>
            </w:r>
            <w:r w:rsidR="00284D0D" w:rsidRPr="00DA29E8">
              <w:rPr>
                <w:rFonts w:asciiTheme="minorHAnsi" w:eastAsia="Times New Roman" w:hAnsiTheme="minorHAnsi"/>
                <w:color w:val="000000" w:themeColor="text1"/>
                <w:sz w:val="22"/>
              </w:rPr>
              <w:t>4</w:t>
            </w:r>
            <w:r w:rsidRPr="00DA29E8">
              <w:rPr>
                <w:rFonts w:asciiTheme="minorHAnsi" w:eastAsia="Times New Roman" w:hAnsiTheme="minorHAnsi"/>
                <w:color w:val="000000" w:themeColor="text1"/>
                <w:sz w:val="22"/>
              </w:rPr>
              <w:t xml:space="preserve"> – Ongoing Performance Monitoring (See testing schedule / friction needs)</w:t>
            </w:r>
          </w:p>
          <w:p w14:paraId="7202CE5D" w14:textId="61DD3CA7" w:rsidR="00B57B55" w:rsidRPr="00DA29E8" w:rsidRDefault="00B57B55" w:rsidP="00B57B55">
            <w:pPr>
              <w:pStyle w:val="ListParagraph"/>
              <w:numPr>
                <w:ilvl w:val="0"/>
                <w:numId w:val="19"/>
              </w:numPr>
              <w:spacing w:after="0" w:line="240" w:lineRule="auto"/>
              <w:contextualSpacing/>
              <w:rPr>
                <w:rFonts w:asciiTheme="minorHAnsi" w:eastAsia="Times New Roman" w:hAnsiTheme="minorHAnsi"/>
                <w:color w:val="000000" w:themeColor="text1"/>
                <w:sz w:val="22"/>
              </w:rPr>
            </w:pPr>
            <w:r w:rsidRPr="00DA29E8">
              <w:rPr>
                <w:rFonts w:asciiTheme="minorHAnsi" w:eastAsia="Times New Roman" w:hAnsiTheme="minorHAnsi"/>
                <w:color w:val="000000" w:themeColor="text1"/>
                <w:sz w:val="22"/>
              </w:rPr>
              <w:t>M</w:t>
            </w:r>
            <w:r w:rsidR="00284D0D" w:rsidRPr="00DA29E8">
              <w:rPr>
                <w:rFonts w:asciiTheme="minorHAnsi" w:eastAsia="Times New Roman" w:hAnsiTheme="minorHAnsi"/>
                <w:color w:val="000000" w:themeColor="text1"/>
                <w:sz w:val="22"/>
              </w:rPr>
              <w:t>5</w:t>
            </w:r>
            <w:r w:rsidRPr="00DA29E8">
              <w:rPr>
                <w:rFonts w:asciiTheme="minorHAnsi" w:eastAsia="Times New Roman" w:hAnsiTheme="minorHAnsi"/>
                <w:color w:val="000000" w:themeColor="text1"/>
                <w:sz w:val="22"/>
              </w:rPr>
              <w:t xml:space="preserve"> – Final forensics and Final Report (no in the budget but should be discussed for 5-10 years down the line.</w:t>
            </w:r>
          </w:p>
          <w:p w14:paraId="2A4018AA" w14:textId="77777777" w:rsidR="00B57B55" w:rsidRPr="00DA29E8" w:rsidRDefault="00B57B55" w:rsidP="00EA1F66">
            <w:pPr>
              <w:spacing w:after="0" w:line="240" w:lineRule="auto"/>
              <w:contextualSpacing/>
              <w:rPr>
                <w:rFonts w:asciiTheme="minorHAnsi" w:hAnsiTheme="minorHAnsi"/>
                <w:sz w:val="22"/>
              </w:rPr>
            </w:pPr>
          </w:p>
          <w:p w14:paraId="24EFB7E6" w14:textId="1B6EBC83" w:rsidR="0004592A" w:rsidRPr="00DA29E8" w:rsidRDefault="0004592A" w:rsidP="00EA1F66">
            <w:pPr>
              <w:spacing w:after="0" w:line="240" w:lineRule="auto"/>
              <w:contextualSpacing/>
              <w:rPr>
                <w:rFonts w:asciiTheme="minorHAnsi" w:hAnsiTheme="minorHAnsi"/>
                <w:sz w:val="22"/>
              </w:rPr>
            </w:pPr>
            <w:r w:rsidRPr="00DA29E8">
              <w:rPr>
                <w:rFonts w:asciiTheme="minorHAnsi" w:hAnsiTheme="minorHAnsi"/>
                <w:sz w:val="22"/>
              </w:rPr>
              <w:t>Contractor will develop the repair areas for the products per their direction</w:t>
            </w:r>
          </w:p>
          <w:p w14:paraId="6BCCA556" w14:textId="77777777" w:rsidR="0004592A" w:rsidRPr="00DA29E8" w:rsidRDefault="0004592A" w:rsidP="00EA1F66">
            <w:pPr>
              <w:spacing w:after="0" w:line="240" w:lineRule="auto"/>
              <w:contextualSpacing/>
              <w:rPr>
                <w:rFonts w:asciiTheme="minorHAnsi" w:hAnsiTheme="minorHAnsi"/>
                <w:sz w:val="22"/>
              </w:rPr>
            </w:pPr>
          </w:p>
          <w:p w14:paraId="73E95276" w14:textId="1532548C" w:rsidR="008D6845" w:rsidRPr="00DA29E8" w:rsidRDefault="008D6845" w:rsidP="008D6845">
            <w:pPr>
              <w:spacing w:after="0" w:line="240" w:lineRule="auto"/>
              <w:contextualSpacing/>
              <w:rPr>
                <w:rFonts w:asciiTheme="minorHAnsi" w:hAnsiTheme="minorHAnsi"/>
                <w:b/>
                <w:sz w:val="22"/>
              </w:rPr>
            </w:pPr>
            <w:r w:rsidRPr="00DA29E8">
              <w:rPr>
                <w:rFonts w:asciiTheme="minorHAnsi" w:hAnsiTheme="minorHAnsi"/>
                <w:b/>
                <w:sz w:val="22"/>
              </w:rPr>
              <w:t xml:space="preserve">Contracted Tasks </w:t>
            </w:r>
            <w:r w:rsidR="00B57B55" w:rsidRPr="00DA29E8">
              <w:rPr>
                <w:rFonts w:asciiTheme="minorHAnsi" w:hAnsiTheme="minorHAnsi"/>
                <w:b/>
                <w:sz w:val="22"/>
              </w:rPr>
              <w:t>(can split up also into two or more contracts</w:t>
            </w:r>
            <w:r w:rsidRPr="00DA29E8">
              <w:rPr>
                <w:rFonts w:asciiTheme="minorHAnsi" w:hAnsiTheme="minorHAnsi"/>
                <w:b/>
                <w:sz w:val="22"/>
              </w:rPr>
              <w:t>)</w:t>
            </w:r>
          </w:p>
          <w:p w14:paraId="0242ABC9" w14:textId="3BFB5DBC" w:rsidR="0004592A" w:rsidRPr="00DA29E8" w:rsidRDefault="008D6845" w:rsidP="00B57B55">
            <w:pPr>
              <w:pStyle w:val="ListParagraph"/>
              <w:numPr>
                <w:ilvl w:val="0"/>
                <w:numId w:val="19"/>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t xml:space="preserve">T1 – </w:t>
            </w:r>
            <w:r w:rsidR="000F3911" w:rsidRPr="00DA29E8">
              <w:rPr>
                <w:rFonts w:asciiTheme="minorHAnsi" w:eastAsia="Times New Roman" w:hAnsiTheme="minorHAnsi"/>
                <w:sz w:val="22"/>
              </w:rPr>
              <w:t>L</w:t>
            </w:r>
            <w:r w:rsidRPr="00DA29E8">
              <w:rPr>
                <w:rFonts w:asciiTheme="minorHAnsi" w:eastAsia="Times New Roman" w:hAnsiTheme="minorHAnsi"/>
                <w:sz w:val="22"/>
              </w:rPr>
              <w:t xml:space="preserve">iterature review – </w:t>
            </w:r>
            <w:r w:rsidR="000F3911" w:rsidRPr="00DA29E8">
              <w:rPr>
                <w:rFonts w:asciiTheme="minorHAnsi" w:eastAsia="Times New Roman" w:hAnsiTheme="minorHAnsi"/>
                <w:sz w:val="22"/>
              </w:rPr>
              <w:t xml:space="preserve">Focus on a survey of </w:t>
            </w:r>
            <w:r w:rsidR="002251C4" w:rsidRPr="00DA29E8">
              <w:rPr>
                <w:rFonts w:asciiTheme="minorHAnsi" w:eastAsia="Times New Roman" w:hAnsiTheme="minorHAnsi"/>
                <w:sz w:val="22"/>
              </w:rPr>
              <w:t xml:space="preserve">NRRA </w:t>
            </w:r>
            <w:r w:rsidR="000F3911" w:rsidRPr="00DA29E8">
              <w:rPr>
                <w:rFonts w:asciiTheme="minorHAnsi" w:eastAsia="Times New Roman" w:hAnsiTheme="minorHAnsi"/>
                <w:sz w:val="22"/>
              </w:rPr>
              <w:t>state agency joint repair practices</w:t>
            </w:r>
            <w:r w:rsidR="002251C4" w:rsidRPr="00DA29E8">
              <w:rPr>
                <w:rFonts w:asciiTheme="minorHAnsi" w:eastAsia="Times New Roman" w:hAnsiTheme="minorHAnsi"/>
                <w:sz w:val="22"/>
              </w:rPr>
              <w:t xml:space="preserve"> done by state forces for this study.</w:t>
            </w:r>
            <w:r w:rsidR="000F3911" w:rsidRPr="00DA29E8">
              <w:rPr>
                <w:rFonts w:asciiTheme="minorHAnsi" w:eastAsia="Times New Roman" w:hAnsiTheme="minorHAnsi"/>
                <w:sz w:val="22"/>
              </w:rPr>
              <w:t xml:space="preserve">  The survey should include product types used and performance periods achieved with each product type, approval processes used to select product types, installation techniques including equipment type and selection, and agency best practices.  The survey should include programmed repairs and high urgency repairs.  The survey should identify the percent and type of repairs conducted by Department forces and those conducted by contract forces.</w:t>
            </w:r>
          </w:p>
          <w:p w14:paraId="428FAEF2" w14:textId="4987A0D6" w:rsidR="00B57B55" w:rsidRPr="00DA29E8" w:rsidRDefault="0004592A" w:rsidP="00B57B55">
            <w:pPr>
              <w:pStyle w:val="ListParagraph"/>
              <w:numPr>
                <w:ilvl w:val="0"/>
                <w:numId w:val="19"/>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lastRenderedPageBreak/>
              <w:t xml:space="preserve">T2 - Summary of the </w:t>
            </w:r>
            <w:r w:rsidR="000F3911" w:rsidRPr="00DA29E8">
              <w:rPr>
                <w:rFonts w:asciiTheme="minorHAnsi" w:eastAsia="Times New Roman" w:hAnsiTheme="minorHAnsi"/>
                <w:sz w:val="22"/>
              </w:rPr>
              <w:t xml:space="preserve">installation procedure – what was done and did it differ from the industry recommendation.  </w:t>
            </w:r>
            <w:r w:rsidR="002251C4" w:rsidRPr="00DA29E8">
              <w:rPr>
                <w:rFonts w:asciiTheme="minorHAnsi" w:eastAsia="Times New Roman" w:hAnsiTheme="minorHAnsi"/>
                <w:sz w:val="22"/>
              </w:rPr>
              <w:t>Develop a guide for installations from agency staff.</w:t>
            </w:r>
          </w:p>
          <w:p w14:paraId="6775140D" w14:textId="4D0B6752" w:rsidR="000F3911" w:rsidRPr="00DA29E8" w:rsidRDefault="000F3911" w:rsidP="000F3911">
            <w:pPr>
              <w:numPr>
                <w:ilvl w:val="0"/>
                <w:numId w:val="19"/>
              </w:numPr>
              <w:spacing w:after="0" w:line="240" w:lineRule="auto"/>
              <w:contextualSpacing/>
              <w:rPr>
                <w:rFonts w:asciiTheme="minorHAnsi" w:hAnsiTheme="minorHAnsi"/>
                <w:sz w:val="22"/>
              </w:rPr>
            </w:pPr>
            <w:r w:rsidRPr="00DA29E8">
              <w:rPr>
                <w:rFonts w:asciiTheme="minorHAnsi" w:hAnsiTheme="minorHAnsi"/>
                <w:sz w:val="22"/>
              </w:rPr>
              <w:t xml:space="preserve">T3 – Lab testing </w:t>
            </w:r>
            <w:r w:rsidR="002251C4" w:rsidRPr="00DA29E8">
              <w:rPr>
                <w:rFonts w:asciiTheme="minorHAnsi" w:hAnsiTheme="minorHAnsi"/>
                <w:sz w:val="22"/>
              </w:rPr>
              <w:t>suggestions –</w:t>
            </w:r>
            <w:r w:rsidRPr="00DA29E8">
              <w:rPr>
                <w:rFonts w:asciiTheme="minorHAnsi" w:hAnsiTheme="minorHAnsi"/>
                <w:sz w:val="22"/>
              </w:rPr>
              <w:t xml:space="preserve"> </w:t>
            </w:r>
            <w:r w:rsidR="002251C4" w:rsidRPr="00DA29E8">
              <w:rPr>
                <w:rFonts w:asciiTheme="minorHAnsi" w:hAnsiTheme="minorHAnsi"/>
                <w:sz w:val="22"/>
              </w:rPr>
              <w:t xml:space="preserve">Not looking for actual lab testing - </w:t>
            </w:r>
            <w:r w:rsidRPr="00DA29E8">
              <w:rPr>
                <w:rFonts w:asciiTheme="minorHAnsi" w:hAnsiTheme="minorHAnsi"/>
                <w:sz w:val="22"/>
              </w:rPr>
              <w:t xml:space="preserve">May not be practical - Products identified as superior performers will be shortlisted and chosen for stress testing in challenging conditions to determine performance levels when subjected to short repair windows, moisture, cold temperatures, extreme loading and other factors as determined by the committee.  Testing matrix will be developed following project approval by Executive committee.  PCC (strength testing?) and HMA testing (DCT?) </w:t>
            </w:r>
          </w:p>
          <w:p w14:paraId="3E48A970" w14:textId="453536FB" w:rsidR="00E5769A" w:rsidRPr="00DA29E8" w:rsidRDefault="000F3911" w:rsidP="000F3911">
            <w:pPr>
              <w:pStyle w:val="ListParagraph"/>
              <w:numPr>
                <w:ilvl w:val="0"/>
                <w:numId w:val="19"/>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t>T4- Analysis of Repair Performance:  The survey results should be used to establish the performance period for each of the product category types used and attendant range in performance.  The performance experience should be coupled with installation costs to conduct LCCA analysis.  The results should identify regional differences, if any, in products used and performance periods.  Include yearly performance updates.</w:t>
            </w:r>
          </w:p>
          <w:p w14:paraId="4E7D77D2" w14:textId="11582BA2" w:rsidR="000F3911" w:rsidRPr="00DA29E8" w:rsidRDefault="008D6845" w:rsidP="000F3911">
            <w:pPr>
              <w:pStyle w:val="ListParagraph"/>
              <w:numPr>
                <w:ilvl w:val="0"/>
                <w:numId w:val="19"/>
              </w:numPr>
              <w:spacing w:after="0" w:line="240" w:lineRule="auto"/>
              <w:contextualSpacing/>
              <w:rPr>
                <w:rFonts w:asciiTheme="minorHAnsi" w:eastAsia="Times New Roman" w:hAnsiTheme="minorHAnsi"/>
                <w:sz w:val="22"/>
              </w:rPr>
            </w:pPr>
            <w:r w:rsidRPr="00DA29E8">
              <w:rPr>
                <w:rFonts w:asciiTheme="minorHAnsi" w:eastAsia="Times New Roman" w:hAnsiTheme="minorHAnsi"/>
                <w:sz w:val="22"/>
              </w:rPr>
              <w:t>T</w:t>
            </w:r>
            <w:r w:rsidR="000F3911" w:rsidRPr="00DA29E8">
              <w:rPr>
                <w:rFonts w:asciiTheme="minorHAnsi" w:eastAsia="Times New Roman" w:hAnsiTheme="minorHAnsi"/>
                <w:sz w:val="22"/>
              </w:rPr>
              <w:t>5</w:t>
            </w:r>
            <w:r w:rsidRPr="00DA29E8">
              <w:rPr>
                <w:rFonts w:asciiTheme="minorHAnsi" w:eastAsia="Times New Roman" w:hAnsiTheme="minorHAnsi"/>
                <w:sz w:val="22"/>
              </w:rPr>
              <w:t xml:space="preserve"> – Draft Final Report</w:t>
            </w:r>
            <w:r w:rsidR="000F3911" w:rsidRPr="00DA29E8">
              <w:rPr>
                <w:rFonts w:asciiTheme="minorHAnsi" w:eastAsia="Times New Roman" w:hAnsiTheme="minorHAnsi"/>
                <w:sz w:val="22"/>
              </w:rPr>
              <w:t xml:space="preserve"> – Tech transfer and report Establishment of Best Practices:  The report should identify best practices for use in selecting and installing permanent repair materials.  The best practices should identify equipment type, installation techniques, typical production rates, and attendant costs.  The practices should identify the most challenging repair installations, and the procedures for ensuring long term performance.</w:t>
            </w:r>
          </w:p>
          <w:p w14:paraId="01203BAD" w14:textId="3F1BA302" w:rsidR="008D6845" w:rsidRPr="00DA29E8" w:rsidRDefault="008D6845" w:rsidP="000F3911">
            <w:pPr>
              <w:pStyle w:val="ListParagraph"/>
              <w:numPr>
                <w:ilvl w:val="0"/>
                <w:numId w:val="19"/>
              </w:numPr>
              <w:spacing w:after="0" w:line="240" w:lineRule="auto"/>
              <w:contextualSpacing/>
              <w:rPr>
                <w:rFonts w:asciiTheme="minorHAnsi" w:hAnsiTheme="minorHAnsi"/>
                <w:sz w:val="22"/>
              </w:rPr>
            </w:pPr>
            <w:r w:rsidRPr="00DA29E8">
              <w:rPr>
                <w:rFonts w:asciiTheme="minorHAnsi" w:eastAsia="Times New Roman" w:hAnsiTheme="minorHAnsi"/>
                <w:sz w:val="22"/>
              </w:rPr>
              <w:t>T</w:t>
            </w:r>
            <w:r w:rsidR="000F3911" w:rsidRPr="00DA29E8">
              <w:rPr>
                <w:rFonts w:asciiTheme="minorHAnsi" w:eastAsia="Times New Roman" w:hAnsiTheme="minorHAnsi"/>
                <w:sz w:val="22"/>
              </w:rPr>
              <w:t>6</w:t>
            </w:r>
            <w:r w:rsidRPr="00DA29E8">
              <w:rPr>
                <w:rFonts w:asciiTheme="minorHAnsi" w:eastAsia="Times New Roman" w:hAnsiTheme="minorHAnsi"/>
                <w:sz w:val="22"/>
              </w:rPr>
              <w:t xml:space="preserve"> – Final Report</w:t>
            </w:r>
          </w:p>
        </w:tc>
      </w:tr>
    </w:tbl>
    <w:p w14:paraId="171CF806" w14:textId="77777777" w:rsidR="009F51D5" w:rsidRPr="00DA29E8" w:rsidRDefault="009F51D5" w:rsidP="009F51D5">
      <w:pPr>
        <w:keepLines/>
        <w:spacing w:after="0" w:line="240" w:lineRule="auto"/>
        <w:rPr>
          <w:rFonts w:asciiTheme="minorHAnsi" w:eastAsia="Times New Roman" w:hAnsiTheme="minorHAnsi"/>
          <w:b/>
          <w:sz w:val="22"/>
        </w:rPr>
      </w:pPr>
    </w:p>
    <w:p w14:paraId="609F13B9" w14:textId="77777777" w:rsidR="001359B6" w:rsidRPr="00DA29E8" w:rsidRDefault="001359B6" w:rsidP="001359B6">
      <w:pPr>
        <w:keepLines/>
        <w:spacing w:after="0" w:line="240" w:lineRule="auto"/>
        <w:rPr>
          <w:rFonts w:asciiTheme="minorHAnsi" w:eastAsia="Times New Roman" w:hAnsiTheme="minorHAnsi"/>
          <w:sz w:val="22"/>
        </w:rPr>
      </w:pPr>
      <w:r w:rsidRPr="00DA29E8">
        <w:rPr>
          <w:rFonts w:asciiTheme="minorHAnsi" w:eastAsia="Times New Roman" w:hAnsiTheme="minorHAnsi"/>
          <w:b/>
          <w:sz w:val="22"/>
        </w:rPr>
        <w:t>Potential Benefits for NRRA Members:</w:t>
      </w:r>
    </w:p>
    <w:tbl>
      <w:tblPr>
        <w:tblStyle w:val="TableGrid2"/>
        <w:tblW w:w="9450" w:type="dxa"/>
        <w:tblInd w:w="108" w:type="dxa"/>
        <w:tblLook w:val="04A0" w:firstRow="1" w:lastRow="0" w:firstColumn="1" w:lastColumn="0" w:noHBand="0" w:noVBand="1"/>
      </w:tblPr>
      <w:tblGrid>
        <w:gridCol w:w="9450"/>
      </w:tblGrid>
      <w:tr w:rsidR="001359B6" w:rsidRPr="00DA29E8" w14:paraId="7C3CD0FD" w14:textId="77777777" w:rsidTr="002B7BE9">
        <w:trPr>
          <w:trHeight w:val="692"/>
        </w:trPr>
        <w:tc>
          <w:tcPr>
            <w:tcW w:w="9450" w:type="dxa"/>
          </w:tcPr>
          <w:p w14:paraId="51C48C07" w14:textId="77777777" w:rsidR="001359B6" w:rsidRPr="00DA29E8" w:rsidRDefault="005F3D47" w:rsidP="00436BF9">
            <w:pPr>
              <w:spacing w:after="0" w:line="240" w:lineRule="auto"/>
              <w:rPr>
                <w:rFonts w:asciiTheme="minorHAnsi" w:hAnsiTheme="minorHAnsi"/>
                <w:sz w:val="22"/>
              </w:rPr>
            </w:pPr>
            <w:r w:rsidRPr="00DA29E8">
              <w:rPr>
                <w:rFonts w:asciiTheme="minorHAnsi" w:hAnsiTheme="minorHAnsi"/>
                <w:sz w:val="22"/>
              </w:rPr>
              <w:t xml:space="preserve">The synthesis will be used by states/agencies to establish effective joint repair programs.  This will include product type selection, installation techniques, equipment types, and performance and cost results.  </w:t>
            </w:r>
          </w:p>
        </w:tc>
      </w:tr>
    </w:tbl>
    <w:p w14:paraId="442A820E" w14:textId="77777777" w:rsidR="004365C0" w:rsidRPr="00DA29E8" w:rsidRDefault="004365C0" w:rsidP="001359B6">
      <w:pPr>
        <w:keepLines/>
        <w:spacing w:after="0" w:line="240" w:lineRule="auto"/>
        <w:rPr>
          <w:rFonts w:asciiTheme="minorHAnsi" w:eastAsia="Times New Roman" w:hAnsiTheme="minorHAnsi"/>
          <w:sz w:val="22"/>
        </w:rPr>
      </w:pPr>
    </w:p>
    <w:p w14:paraId="2DCC2E93" w14:textId="77777777" w:rsidR="001359B6" w:rsidRPr="00DA29E8" w:rsidRDefault="001359B6" w:rsidP="001359B6">
      <w:pPr>
        <w:spacing w:after="0" w:line="240" w:lineRule="auto"/>
        <w:ind w:right="-810"/>
        <w:rPr>
          <w:rFonts w:asciiTheme="minorHAnsi" w:eastAsia="Times New Roman" w:hAnsiTheme="minorHAnsi"/>
          <w:sz w:val="22"/>
        </w:rPr>
      </w:pPr>
      <w:r w:rsidRPr="00DA29E8">
        <w:rPr>
          <w:rFonts w:asciiTheme="minorHAnsi" w:eastAsia="Times New Roman" w:hAnsiTheme="minorHAnsi"/>
          <w:b/>
          <w:sz w:val="22"/>
        </w:rPr>
        <w:t>How Does This Build Upon Previous Research?</w:t>
      </w:r>
    </w:p>
    <w:tbl>
      <w:tblPr>
        <w:tblStyle w:val="TableGrid2"/>
        <w:tblW w:w="9450" w:type="dxa"/>
        <w:tblInd w:w="108" w:type="dxa"/>
        <w:tblLook w:val="04A0" w:firstRow="1" w:lastRow="0" w:firstColumn="1" w:lastColumn="0" w:noHBand="0" w:noVBand="1"/>
      </w:tblPr>
      <w:tblGrid>
        <w:gridCol w:w="9450"/>
      </w:tblGrid>
      <w:tr w:rsidR="001359B6" w:rsidRPr="00DA29E8" w14:paraId="080AD94F" w14:textId="77777777" w:rsidTr="004625CA">
        <w:tc>
          <w:tcPr>
            <w:tcW w:w="9450" w:type="dxa"/>
          </w:tcPr>
          <w:p w14:paraId="0D238EEE" w14:textId="77777777" w:rsidR="00C20E3A" w:rsidRPr="00DA29E8" w:rsidRDefault="00C20E3A" w:rsidP="00C20E3A">
            <w:pPr>
              <w:keepLines/>
              <w:spacing w:after="0" w:line="240" w:lineRule="auto"/>
              <w:contextualSpacing/>
              <w:rPr>
                <w:rFonts w:asciiTheme="minorHAnsi" w:hAnsiTheme="minorHAnsi"/>
                <w:sz w:val="22"/>
              </w:rPr>
            </w:pPr>
            <w:r w:rsidRPr="00DA29E8">
              <w:rPr>
                <w:rFonts w:asciiTheme="minorHAnsi" w:hAnsiTheme="minorHAnsi"/>
                <w:sz w:val="22"/>
              </w:rPr>
              <w:t xml:space="preserve">Laboratory Evaluation of Partial Depth Repair Materials for Use in Winter Climates –Jay Daley, </w:t>
            </w:r>
            <w:proofErr w:type="spellStart"/>
            <w:r w:rsidRPr="00DA29E8">
              <w:rPr>
                <w:rFonts w:asciiTheme="minorHAnsi" w:hAnsiTheme="minorHAnsi"/>
                <w:sz w:val="22"/>
              </w:rPr>
              <w:t>Eshan</w:t>
            </w:r>
            <w:proofErr w:type="spellEnd"/>
            <w:r w:rsidRPr="00DA29E8">
              <w:rPr>
                <w:rFonts w:asciiTheme="minorHAnsi" w:hAnsiTheme="minorHAnsi"/>
                <w:sz w:val="22"/>
              </w:rPr>
              <w:t xml:space="preserve"> Dave, Eric </w:t>
            </w:r>
            <w:proofErr w:type="spellStart"/>
            <w:r w:rsidRPr="00DA29E8">
              <w:rPr>
                <w:rFonts w:asciiTheme="minorHAnsi" w:hAnsiTheme="minorHAnsi"/>
                <w:sz w:val="22"/>
              </w:rPr>
              <w:t>Musselman</w:t>
            </w:r>
            <w:proofErr w:type="spellEnd"/>
            <w:r w:rsidRPr="00DA29E8">
              <w:rPr>
                <w:rFonts w:asciiTheme="minorHAnsi" w:hAnsiTheme="minorHAnsi"/>
                <w:sz w:val="22"/>
              </w:rPr>
              <w:t xml:space="preserve">, Robert </w:t>
            </w:r>
            <w:proofErr w:type="spellStart"/>
            <w:r w:rsidRPr="00DA29E8">
              <w:rPr>
                <w:rFonts w:asciiTheme="minorHAnsi" w:hAnsiTheme="minorHAnsi"/>
                <w:sz w:val="22"/>
              </w:rPr>
              <w:t>Kostick</w:t>
            </w:r>
            <w:proofErr w:type="spellEnd"/>
          </w:p>
          <w:p w14:paraId="282EE58D" w14:textId="77777777" w:rsidR="00C20E3A" w:rsidRPr="00DA29E8" w:rsidRDefault="00C20E3A" w:rsidP="00C20E3A">
            <w:pPr>
              <w:keepLines/>
              <w:spacing w:after="0" w:line="240" w:lineRule="auto"/>
              <w:contextualSpacing/>
              <w:rPr>
                <w:rFonts w:asciiTheme="minorHAnsi" w:hAnsiTheme="minorHAnsi"/>
                <w:sz w:val="22"/>
              </w:rPr>
            </w:pPr>
          </w:p>
          <w:p w14:paraId="2A2928B1" w14:textId="77777777" w:rsidR="001359B6" w:rsidRPr="00DA29E8" w:rsidRDefault="00C20E3A" w:rsidP="00436BF9">
            <w:pPr>
              <w:keepLines/>
              <w:spacing w:after="0" w:line="240" w:lineRule="auto"/>
              <w:contextualSpacing/>
              <w:rPr>
                <w:rFonts w:asciiTheme="minorHAnsi" w:hAnsiTheme="minorHAnsi"/>
                <w:strike/>
                <w:sz w:val="22"/>
              </w:rPr>
            </w:pPr>
            <w:r w:rsidRPr="00DA29E8">
              <w:rPr>
                <w:rFonts w:asciiTheme="minorHAnsi" w:hAnsiTheme="minorHAnsi"/>
                <w:sz w:val="22"/>
              </w:rPr>
              <w:t>This effort will complement the two recent publications by the C.P. Tech Center on Partial Depth Repairs and the recent Concrete Pavement Preservation Manual.  It also should extend the findings of the recent MnDOT study on partial depth repair materials.</w:t>
            </w:r>
          </w:p>
        </w:tc>
      </w:tr>
    </w:tbl>
    <w:p w14:paraId="233F585C" w14:textId="77777777" w:rsidR="004365C0" w:rsidRPr="00DA29E8" w:rsidRDefault="004365C0" w:rsidP="004365C0">
      <w:pPr>
        <w:spacing w:after="0" w:line="240" w:lineRule="auto"/>
        <w:rPr>
          <w:rFonts w:asciiTheme="minorHAnsi" w:hAnsiTheme="minorHAnsi"/>
          <w:sz w:val="22"/>
        </w:rPr>
      </w:pPr>
    </w:p>
    <w:sectPr w:rsidR="004365C0" w:rsidRPr="00DA29E8" w:rsidSect="004365C0">
      <w:type w:val="continuous"/>
      <w:pgSz w:w="12240" w:h="15840" w:code="1"/>
      <w:pgMar w:top="1440" w:right="1440" w:bottom="1440" w:left="1440" w:header="360" w:footer="36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31624" w14:textId="77777777" w:rsidR="00BB3862" w:rsidRDefault="00BB3862" w:rsidP="005C14B4">
      <w:pPr>
        <w:spacing w:after="0"/>
      </w:pPr>
      <w:r>
        <w:separator/>
      </w:r>
    </w:p>
  </w:endnote>
  <w:endnote w:type="continuationSeparator" w:id="0">
    <w:p w14:paraId="2D4CE387" w14:textId="77777777" w:rsidR="00BB3862" w:rsidRDefault="00BB3862"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0B056" w14:textId="77777777" w:rsidR="004365C0" w:rsidRDefault="004365C0">
    <w:pPr>
      <w:pStyle w:val="Footer"/>
    </w:pPr>
    <w:r>
      <w:rPr>
        <w:noProof/>
      </w:rPr>
      <w:drawing>
        <wp:anchor distT="0" distB="0" distL="114300" distR="114300" simplePos="0" relativeHeight="251660288" behindDoc="0" locked="0" layoutInCell="1" allowOverlap="1" wp14:anchorId="67E7D43F" wp14:editId="43C6691A">
          <wp:simplePos x="0" y="0"/>
          <wp:positionH relativeFrom="column">
            <wp:posOffset>-19050</wp:posOffset>
          </wp:positionH>
          <wp:positionV relativeFrom="paragraph">
            <wp:posOffset>-220980</wp:posOffset>
          </wp:positionV>
          <wp:extent cx="6257925" cy="1066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png"/>
                  <pic:cNvPicPr/>
                </pic:nvPicPr>
                <pic:blipFill rotWithShape="1">
                  <a:blip r:embed="rId1" cstate="print">
                    <a:extLst>
                      <a:ext uri="{28A0092B-C50C-407E-A947-70E740481C1C}">
                        <a14:useLocalDpi xmlns:a14="http://schemas.microsoft.com/office/drawing/2010/main" val="0"/>
                      </a:ext>
                    </a:extLst>
                  </a:blip>
                  <a:srcRect t="23288"/>
                  <a:stretch/>
                </pic:blipFill>
                <pic:spPr bwMode="auto">
                  <a:xfrm>
                    <a:off x="0" y="0"/>
                    <a:ext cx="62579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1D674" w14:textId="77777777" w:rsidR="004365C0" w:rsidRDefault="004365C0">
    <w:pPr>
      <w:pStyle w:val="Footer"/>
      <w:jc w:val="center"/>
    </w:pPr>
  </w:p>
  <w:p w14:paraId="3F7CEDB1" w14:textId="77777777" w:rsidR="00E00D0D" w:rsidRDefault="00E00D0D" w:rsidP="00B1051F">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3593E" w14:textId="77777777" w:rsidR="00BB3862" w:rsidRDefault="00BB3862" w:rsidP="005C14B4">
      <w:pPr>
        <w:spacing w:after="0"/>
      </w:pPr>
      <w:r>
        <w:separator/>
      </w:r>
    </w:p>
  </w:footnote>
  <w:footnote w:type="continuationSeparator" w:id="0">
    <w:p w14:paraId="5B0A5400" w14:textId="77777777" w:rsidR="00BB3862" w:rsidRDefault="00BB3862" w:rsidP="005C14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9C"/>
    <w:multiLevelType w:val="hybridMultilevel"/>
    <w:tmpl w:val="E534B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CC7FB4"/>
    <w:multiLevelType w:val="hybridMultilevel"/>
    <w:tmpl w:val="E0EAECB2"/>
    <w:lvl w:ilvl="0" w:tplc="FAB45FD8">
      <w:start w:val="1"/>
      <w:numFmt w:val="bullet"/>
      <w:lvlText w:val=""/>
      <w:lvlJc w:val="left"/>
      <w:pPr>
        <w:ind w:left="1129" w:hanging="360"/>
      </w:pPr>
      <w:rPr>
        <w:rFonts w:ascii="Symbol" w:hAnsi="Symbol" w:hint="default"/>
        <w:color w:val="auto"/>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8"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3A45BD"/>
    <w:multiLevelType w:val="hybridMultilevel"/>
    <w:tmpl w:val="50A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B26C59"/>
    <w:multiLevelType w:val="hybridMultilevel"/>
    <w:tmpl w:val="50A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2C41D9"/>
    <w:multiLevelType w:val="hybridMultilevel"/>
    <w:tmpl w:val="95AA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3"/>
  </w:num>
  <w:num w:numId="4">
    <w:abstractNumId w:val="1"/>
  </w:num>
  <w:num w:numId="5">
    <w:abstractNumId w:val="11"/>
  </w:num>
  <w:num w:numId="6">
    <w:abstractNumId w:val="4"/>
  </w:num>
  <w:num w:numId="7">
    <w:abstractNumId w:val="5"/>
  </w:num>
  <w:num w:numId="8">
    <w:abstractNumId w:val="2"/>
  </w:num>
  <w:num w:numId="9">
    <w:abstractNumId w:val="18"/>
  </w:num>
  <w:num w:numId="10">
    <w:abstractNumId w:val="6"/>
  </w:num>
  <w:num w:numId="11">
    <w:abstractNumId w:val="15"/>
  </w:num>
  <w:num w:numId="12">
    <w:abstractNumId w:val="8"/>
  </w:num>
  <w:num w:numId="13">
    <w:abstractNumId w:val="9"/>
  </w:num>
  <w:num w:numId="14">
    <w:abstractNumId w:val="17"/>
  </w:num>
  <w:num w:numId="15">
    <w:abstractNumId w:val="14"/>
  </w:num>
  <w:num w:numId="16">
    <w:abstractNumId w:val="12"/>
  </w:num>
  <w:num w:numId="17">
    <w:abstractNumId w:val="10"/>
  </w:num>
  <w:num w:numId="18">
    <w:abstractNumId w:val="16"/>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70"/>
    <w:rsid w:val="00003311"/>
    <w:rsid w:val="00015ACA"/>
    <w:rsid w:val="00032D21"/>
    <w:rsid w:val="0004592A"/>
    <w:rsid w:val="000626D9"/>
    <w:rsid w:val="000A1FBA"/>
    <w:rsid w:val="000C11CF"/>
    <w:rsid w:val="000C7423"/>
    <w:rsid w:val="000E0024"/>
    <w:rsid w:val="000E022D"/>
    <w:rsid w:val="000F3911"/>
    <w:rsid w:val="000F5BCB"/>
    <w:rsid w:val="00102EC8"/>
    <w:rsid w:val="00106B6D"/>
    <w:rsid w:val="001126E4"/>
    <w:rsid w:val="001202DB"/>
    <w:rsid w:val="00123FB6"/>
    <w:rsid w:val="001255C2"/>
    <w:rsid w:val="00132738"/>
    <w:rsid w:val="001359B6"/>
    <w:rsid w:val="00156FFA"/>
    <w:rsid w:val="0016790B"/>
    <w:rsid w:val="00175F56"/>
    <w:rsid w:val="001A2E71"/>
    <w:rsid w:val="001A50D1"/>
    <w:rsid w:val="001A566E"/>
    <w:rsid w:val="001D0E15"/>
    <w:rsid w:val="001E4B19"/>
    <w:rsid w:val="00202AD1"/>
    <w:rsid w:val="00215584"/>
    <w:rsid w:val="002251C4"/>
    <w:rsid w:val="00225C94"/>
    <w:rsid w:val="002403EE"/>
    <w:rsid w:val="00245A13"/>
    <w:rsid w:val="00252D83"/>
    <w:rsid w:val="002743C2"/>
    <w:rsid w:val="0027728B"/>
    <w:rsid w:val="00284D0D"/>
    <w:rsid w:val="002A4379"/>
    <w:rsid w:val="002B3DCD"/>
    <w:rsid w:val="002B7BE9"/>
    <w:rsid w:val="002E225B"/>
    <w:rsid w:val="002E5404"/>
    <w:rsid w:val="002F437F"/>
    <w:rsid w:val="00307821"/>
    <w:rsid w:val="00342105"/>
    <w:rsid w:val="0035650B"/>
    <w:rsid w:val="00360E44"/>
    <w:rsid w:val="00390073"/>
    <w:rsid w:val="0039301B"/>
    <w:rsid w:val="003B433A"/>
    <w:rsid w:val="003B7E47"/>
    <w:rsid w:val="003D1DF4"/>
    <w:rsid w:val="003E2DC2"/>
    <w:rsid w:val="003F234C"/>
    <w:rsid w:val="003F5A37"/>
    <w:rsid w:val="00403A11"/>
    <w:rsid w:val="004365C0"/>
    <w:rsid w:val="00436BF9"/>
    <w:rsid w:val="00443D29"/>
    <w:rsid w:val="004665CD"/>
    <w:rsid w:val="004A39ED"/>
    <w:rsid w:val="004D2CA5"/>
    <w:rsid w:val="00554822"/>
    <w:rsid w:val="005A25E1"/>
    <w:rsid w:val="005B5421"/>
    <w:rsid w:val="005C14B4"/>
    <w:rsid w:val="005D466C"/>
    <w:rsid w:val="005F3D47"/>
    <w:rsid w:val="00621901"/>
    <w:rsid w:val="00621E1F"/>
    <w:rsid w:val="0062584B"/>
    <w:rsid w:val="00627292"/>
    <w:rsid w:val="00653843"/>
    <w:rsid w:val="00692D04"/>
    <w:rsid w:val="006B7728"/>
    <w:rsid w:val="006D78B3"/>
    <w:rsid w:val="00704919"/>
    <w:rsid w:val="00721925"/>
    <w:rsid w:val="0077777D"/>
    <w:rsid w:val="00780873"/>
    <w:rsid w:val="00794398"/>
    <w:rsid w:val="0079532D"/>
    <w:rsid w:val="007B7F61"/>
    <w:rsid w:val="007C5FEE"/>
    <w:rsid w:val="0080298C"/>
    <w:rsid w:val="00822A3D"/>
    <w:rsid w:val="00827CB1"/>
    <w:rsid w:val="008362E4"/>
    <w:rsid w:val="00842F93"/>
    <w:rsid w:val="00863487"/>
    <w:rsid w:val="00873BFA"/>
    <w:rsid w:val="008857E0"/>
    <w:rsid w:val="008A03F0"/>
    <w:rsid w:val="008B2B7A"/>
    <w:rsid w:val="008C5E25"/>
    <w:rsid w:val="008D2E80"/>
    <w:rsid w:val="008D6845"/>
    <w:rsid w:val="00916F3F"/>
    <w:rsid w:val="00940934"/>
    <w:rsid w:val="0095219C"/>
    <w:rsid w:val="00967A26"/>
    <w:rsid w:val="009744D8"/>
    <w:rsid w:val="00974A24"/>
    <w:rsid w:val="009B5562"/>
    <w:rsid w:val="009C3D59"/>
    <w:rsid w:val="009D0ED0"/>
    <w:rsid w:val="009D646E"/>
    <w:rsid w:val="009F51D5"/>
    <w:rsid w:val="00A16BF0"/>
    <w:rsid w:val="00A211E9"/>
    <w:rsid w:val="00A47270"/>
    <w:rsid w:val="00A55293"/>
    <w:rsid w:val="00A65146"/>
    <w:rsid w:val="00A70FDB"/>
    <w:rsid w:val="00A72432"/>
    <w:rsid w:val="00A76770"/>
    <w:rsid w:val="00A76D39"/>
    <w:rsid w:val="00A94B8A"/>
    <w:rsid w:val="00AA3E2D"/>
    <w:rsid w:val="00AC7362"/>
    <w:rsid w:val="00AE43B4"/>
    <w:rsid w:val="00AF01FF"/>
    <w:rsid w:val="00B1051F"/>
    <w:rsid w:val="00B43BEB"/>
    <w:rsid w:val="00B5633B"/>
    <w:rsid w:val="00B57B55"/>
    <w:rsid w:val="00B64B84"/>
    <w:rsid w:val="00B85C9C"/>
    <w:rsid w:val="00BB3862"/>
    <w:rsid w:val="00BB548D"/>
    <w:rsid w:val="00BF1880"/>
    <w:rsid w:val="00BF3B96"/>
    <w:rsid w:val="00C04A0F"/>
    <w:rsid w:val="00C20D88"/>
    <w:rsid w:val="00C20E3A"/>
    <w:rsid w:val="00C22E07"/>
    <w:rsid w:val="00C234A0"/>
    <w:rsid w:val="00C33089"/>
    <w:rsid w:val="00C45042"/>
    <w:rsid w:val="00C5546D"/>
    <w:rsid w:val="00C80B07"/>
    <w:rsid w:val="00CA0B28"/>
    <w:rsid w:val="00CB7E24"/>
    <w:rsid w:val="00CE19B9"/>
    <w:rsid w:val="00CE4E45"/>
    <w:rsid w:val="00CE52CA"/>
    <w:rsid w:val="00CF2A19"/>
    <w:rsid w:val="00D14771"/>
    <w:rsid w:val="00D20AB6"/>
    <w:rsid w:val="00D2482B"/>
    <w:rsid w:val="00D67DED"/>
    <w:rsid w:val="00DA064C"/>
    <w:rsid w:val="00DA1CA6"/>
    <w:rsid w:val="00DA24A4"/>
    <w:rsid w:val="00DA29E8"/>
    <w:rsid w:val="00DB2A74"/>
    <w:rsid w:val="00DC349B"/>
    <w:rsid w:val="00DF5967"/>
    <w:rsid w:val="00E00D0D"/>
    <w:rsid w:val="00E40A90"/>
    <w:rsid w:val="00E42622"/>
    <w:rsid w:val="00E5769A"/>
    <w:rsid w:val="00E666A8"/>
    <w:rsid w:val="00E70AF4"/>
    <w:rsid w:val="00E87076"/>
    <w:rsid w:val="00E92D13"/>
    <w:rsid w:val="00EA1F66"/>
    <w:rsid w:val="00EB61FA"/>
    <w:rsid w:val="00ED6017"/>
    <w:rsid w:val="00EE12A8"/>
    <w:rsid w:val="00EE4DEA"/>
    <w:rsid w:val="00EE6094"/>
    <w:rsid w:val="00EE6203"/>
    <w:rsid w:val="00F029A3"/>
    <w:rsid w:val="00F0656B"/>
    <w:rsid w:val="00F23D70"/>
    <w:rsid w:val="00F24744"/>
    <w:rsid w:val="00F3201D"/>
    <w:rsid w:val="00F355FE"/>
    <w:rsid w:val="00FE0BEC"/>
    <w:rsid w:val="00FE1FD6"/>
    <w:rsid w:val="00FE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0DDBF8"/>
  <w15:docId w15:val="{64DFD5BC-BC38-468F-8211-5C779A16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AD1"/>
    <w:pPr>
      <w:autoSpaceDE w:val="0"/>
      <w:autoSpaceDN w:val="0"/>
      <w:adjustRightInd w:val="0"/>
    </w:pPr>
    <w:rPr>
      <w:rFonts w:eastAsiaTheme="minorHAnsi" w:cs="Calibri"/>
      <w:color w:val="000000"/>
      <w:sz w:val="24"/>
      <w:szCs w:val="24"/>
    </w:rPr>
  </w:style>
  <w:style w:type="character" w:styleId="CommentReference">
    <w:name w:val="annotation reference"/>
    <w:basedOn w:val="DefaultParagraphFont"/>
    <w:uiPriority w:val="99"/>
    <w:semiHidden/>
    <w:unhideWhenUsed/>
    <w:rsid w:val="00EE6203"/>
    <w:rPr>
      <w:sz w:val="16"/>
      <w:szCs w:val="16"/>
    </w:rPr>
  </w:style>
  <w:style w:type="paragraph" w:styleId="CommentText">
    <w:name w:val="annotation text"/>
    <w:basedOn w:val="Normal"/>
    <w:link w:val="CommentTextChar"/>
    <w:uiPriority w:val="99"/>
    <w:semiHidden/>
    <w:unhideWhenUsed/>
    <w:rsid w:val="00EE6203"/>
    <w:pPr>
      <w:spacing w:line="240" w:lineRule="auto"/>
    </w:pPr>
    <w:rPr>
      <w:szCs w:val="20"/>
    </w:rPr>
  </w:style>
  <w:style w:type="character" w:customStyle="1" w:styleId="CommentTextChar">
    <w:name w:val="Comment Text Char"/>
    <w:basedOn w:val="DefaultParagraphFont"/>
    <w:link w:val="CommentText"/>
    <w:uiPriority w:val="99"/>
    <w:semiHidden/>
    <w:rsid w:val="00EE6203"/>
    <w:rPr>
      <w:rFonts w:ascii="Arial" w:hAnsi="Arial"/>
    </w:rPr>
  </w:style>
  <w:style w:type="paragraph" w:styleId="CommentSubject">
    <w:name w:val="annotation subject"/>
    <w:basedOn w:val="CommentText"/>
    <w:next w:val="CommentText"/>
    <w:link w:val="CommentSubjectChar"/>
    <w:uiPriority w:val="99"/>
    <w:semiHidden/>
    <w:unhideWhenUsed/>
    <w:rsid w:val="00EE6203"/>
    <w:rPr>
      <w:b/>
      <w:bCs/>
    </w:rPr>
  </w:style>
  <w:style w:type="character" w:customStyle="1" w:styleId="CommentSubjectChar">
    <w:name w:val="Comment Subject Char"/>
    <w:basedOn w:val="CommentTextChar"/>
    <w:link w:val="CommentSubject"/>
    <w:uiPriority w:val="99"/>
    <w:semiHidden/>
    <w:rsid w:val="00EE620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erry.geib@state.m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BC6AF55F-FF7F-4539-88DA-B3FBB3E0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Worel, Benjamin (DOT)</cp:lastModifiedBy>
  <cp:revision>3</cp:revision>
  <cp:lastPrinted>2016-01-07T20:11:00Z</cp:lastPrinted>
  <dcterms:created xsi:type="dcterms:W3CDTF">2017-06-15T14:24:00Z</dcterms:created>
  <dcterms:modified xsi:type="dcterms:W3CDTF">2017-06-15T15:09:00Z</dcterms:modified>
</cp:coreProperties>
</file>